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page" w:horzAnchor="page" w:tblpX="885" w:tblpY="2568"/>
        <w:tblOverlap w:val="never"/>
        <w:tblW w:w="9214" w:type="dxa"/>
        <w:tblInd w:w="0" w:type="dxa"/>
        <w:tblLayout w:type="autofit"/>
        <w:tblCellMar>
          <w:top w:w="0" w:type="dxa"/>
          <w:left w:w="108" w:type="dxa"/>
          <w:bottom w:w="0" w:type="dxa"/>
          <w:right w:w="108" w:type="dxa"/>
        </w:tblCellMar>
      </w:tblPr>
      <w:tblGrid>
        <w:gridCol w:w="850"/>
        <w:gridCol w:w="2978"/>
        <w:gridCol w:w="850"/>
        <w:gridCol w:w="3827"/>
        <w:gridCol w:w="709"/>
      </w:tblGrid>
      <w:tr>
        <w:tblPrEx>
          <w:tblCellMar>
            <w:top w:w="0" w:type="dxa"/>
            <w:left w:w="108" w:type="dxa"/>
            <w:bottom w:w="0" w:type="dxa"/>
            <w:right w:w="108" w:type="dxa"/>
          </w:tblCellMar>
        </w:tblPrEx>
        <w:trPr>
          <w:trHeight w:val="560" w:hRule="atLeast"/>
        </w:trPr>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0"/>
                <w:szCs w:val="20"/>
                <w14:ligatures w14:val="none"/>
              </w:rPr>
            </w:pPr>
            <w:bookmarkStart w:id="0" w:name="_Hlk154411258"/>
            <w:bookmarkStart w:id="1" w:name="_Hlk154406240"/>
            <w:r>
              <w:rPr>
                <w:rFonts w:hint="eastAsia" w:ascii="宋体" w:hAnsi="宋体" w:eastAsia="宋体" w:cs="宋体"/>
                <w:b/>
                <w:bCs/>
                <w:color w:val="000000"/>
                <w:kern w:val="0"/>
                <w:sz w:val="20"/>
                <w:szCs w:val="20"/>
                <w14:ligatures w14:val="none"/>
              </w:rPr>
              <w:t>编号</w:t>
            </w:r>
          </w:p>
        </w:tc>
        <w:tc>
          <w:tcPr>
            <w:tcW w:w="297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0"/>
                <w:szCs w:val="20"/>
                <w14:ligatures w14:val="none"/>
              </w:rPr>
            </w:pPr>
            <w:r>
              <w:rPr>
                <w:rFonts w:hint="eastAsia" w:ascii="宋体" w:hAnsi="宋体" w:eastAsia="宋体" w:cs="宋体"/>
                <w:b/>
                <w:bCs/>
                <w:color w:val="000000"/>
                <w:kern w:val="0"/>
                <w:sz w:val="20"/>
                <w:szCs w:val="20"/>
                <w14:ligatures w14:val="none"/>
              </w:rPr>
              <w:t>项目</w:t>
            </w: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rPr>
                <w:rFonts w:ascii="宋体" w:hAnsi="宋体" w:eastAsia="宋体" w:cs="宋体"/>
                <w:b/>
                <w:bCs/>
                <w:color w:val="000000"/>
                <w:kern w:val="0"/>
                <w:sz w:val="20"/>
                <w:szCs w:val="20"/>
                <w14:ligatures w14:val="none"/>
              </w:rPr>
            </w:pPr>
            <w:r>
              <w:rPr>
                <w:rFonts w:hint="eastAsia" w:ascii="宋体" w:hAnsi="宋体" w:eastAsia="宋体" w:cs="宋体"/>
                <w:b/>
                <w:bCs/>
                <w:color w:val="000000"/>
                <w:kern w:val="0"/>
                <w:sz w:val="20"/>
                <w:szCs w:val="20"/>
                <w14:ligatures w14:val="none"/>
              </w:rPr>
              <w:t>数量</w:t>
            </w:r>
          </w:p>
        </w:tc>
        <w:tc>
          <w:tcPr>
            <w:tcW w:w="382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0"/>
                <w:szCs w:val="20"/>
                <w14:ligatures w14:val="none"/>
              </w:rPr>
            </w:pPr>
            <w:r>
              <w:rPr>
                <w:rFonts w:hint="eastAsia" w:ascii="宋体" w:hAnsi="宋体" w:eastAsia="宋体" w:cs="宋体"/>
                <w:b/>
                <w:bCs/>
                <w:color w:val="000000"/>
                <w:kern w:val="0"/>
                <w:sz w:val="20"/>
                <w:szCs w:val="20"/>
                <w14:ligatures w14:val="none"/>
              </w:rPr>
              <w:t>说明</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0"/>
                <w:szCs w:val="20"/>
                <w14:ligatures w14:val="none"/>
              </w:rPr>
            </w:pPr>
            <w:r>
              <w:rPr>
                <w:rFonts w:hint="eastAsia" w:ascii="宋体" w:hAnsi="宋体" w:eastAsia="宋体" w:cs="宋体"/>
                <w:b/>
                <w:bCs/>
                <w:color w:val="000000"/>
                <w:kern w:val="0"/>
                <w:sz w:val="20"/>
                <w:szCs w:val="20"/>
                <w14:ligatures w14:val="none"/>
              </w:rPr>
              <w:t>备注</w:t>
            </w:r>
          </w:p>
        </w:tc>
      </w:tr>
      <w:tr>
        <w:tblPrEx>
          <w:tblCellMar>
            <w:top w:w="0" w:type="dxa"/>
            <w:left w:w="108" w:type="dxa"/>
            <w:bottom w:w="0" w:type="dxa"/>
            <w:right w:w="108" w:type="dxa"/>
          </w:tblCellMar>
        </w:tblPrEx>
        <w:trPr>
          <w:trHeight w:val="600" w:hRule="atLeast"/>
        </w:trPr>
        <w:tc>
          <w:tcPr>
            <w:tcW w:w="85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14:ligatures w14:val="none"/>
              </w:rPr>
            </w:pPr>
            <w:r>
              <w:rPr>
                <w:rFonts w:hint="eastAsia" w:ascii="宋体" w:hAnsi="宋体" w:eastAsia="宋体" w:cs="宋体"/>
                <w:color w:val="000000"/>
                <w:kern w:val="0"/>
                <w:sz w:val="22"/>
                <w14:ligatures w14:val="none"/>
              </w:rPr>
              <w:t>1</w:t>
            </w:r>
          </w:p>
        </w:tc>
        <w:tc>
          <w:tcPr>
            <w:tcW w:w="29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8"/>
                <w:szCs w:val="18"/>
                <w14:ligatures w14:val="none"/>
              </w:rPr>
            </w:pPr>
            <w:r>
              <w:rPr>
                <w:rFonts w:hint="eastAsia" w:ascii="宋体" w:hAnsi="宋体" w:eastAsia="宋体" w:cs="宋体"/>
                <w:color w:val="000000"/>
                <w:kern w:val="0"/>
                <w:sz w:val="18"/>
                <w:szCs w:val="18"/>
                <w14:ligatures w14:val="none"/>
              </w:rPr>
              <w:t>改造24年会计核算体系</w:t>
            </w: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8"/>
                <w:szCs w:val="18"/>
                <w14:ligatures w14:val="none"/>
              </w:rPr>
            </w:pPr>
            <w:r>
              <w:rPr>
                <w:rFonts w:hint="eastAsia" w:ascii="宋体" w:hAnsi="宋体" w:eastAsia="宋体" w:cs="宋体"/>
                <w:color w:val="000000"/>
                <w:kern w:val="0"/>
                <w:sz w:val="18"/>
                <w:szCs w:val="18"/>
                <w14:ligatures w14:val="none"/>
              </w:rPr>
              <w:t>1</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14:ligatures w14:val="none"/>
              </w:rPr>
            </w:pPr>
            <w:r>
              <w:rPr>
                <w:rFonts w:hint="eastAsia" w:ascii="宋体" w:hAnsi="宋体" w:eastAsia="宋体" w:cs="宋体"/>
                <w:color w:val="000000"/>
                <w:kern w:val="0"/>
                <w:sz w:val="18"/>
                <w:szCs w:val="18"/>
                <w14:ligatures w14:val="none"/>
              </w:rPr>
              <w:t>根据云卫财务发〔2023〕92号文件要求，建立符合医院的会计核算体系</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8"/>
                <w:szCs w:val="18"/>
                <w14:ligatures w14:val="none"/>
              </w:rPr>
            </w:pPr>
            <w:r>
              <w:rPr>
                <w:rFonts w:hint="eastAsia" w:ascii="宋体" w:hAnsi="宋体" w:eastAsia="宋体" w:cs="宋体"/>
                <w:color w:val="000000"/>
                <w:kern w:val="0"/>
                <w:sz w:val="18"/>
                <w:szCs w:val="18"/>
                <w14:ligatures w14:val="none"/>
              </w:rPr>
              <w:t>　</w:t>
            </w:r>
          </w:p>
        </w:tc>
      </w:tr>
      <w:tr>
        <w:tblPrEx>
          <w:tblCellMar>
            <w:top w:w="0" w:type="dxa"/>
            <w:left w:w="108" w:type="dxa"/>
            <w:bottom w:w="0" w:type="dxa"/>
            <w:right w:w="108" w:type="dxa"/>
          </w:tblCellMar>
        </w:tblPrEx>
        <w:trPr>
          <w:trHeight w:val="600" w:hRule="atLeast"/>
        </w:trPr>
        <w:tc>
          <w:tcPr>
            <w:tcW w:w="85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14:ligatures w14:val="none"/>
              </w:rPr>
            </w:pPr>
            <w:r>
              <w:rPr>
                <w:rFonts w:hint="eastAsia" w:ascii="宋体" w:hAnsi="宋体" w:eastAsia="宋体" w:cs="宋体"/>
                <w:color w:val="000000"/>
                <w:kern w:val="0"/>
                <w:sz w:val="22"/>
                <w14:ligatures w14:val="none"/>
              </w:rPr>
              <w:t>2</w:t>
            </w:r>
          </w:p>
        </w:tc>
        <w:tc>
          <w:tcPr>
            <w:tcW w:w="29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14:ligatures w14:val="standardContextual"/>
              </w:rPr>
            </w:pPr>
            <w:r>
              <w:rPr>
                <w:rFonts w:hint="eastAsia" w:ascii="宋体" w:hAnsi="宋体" w:eastAsia="宋体" w:cs="宋体"/>
                <w:color w:val="000000"/>
                <w:kern w:val="0"/>
                <w:sz w:val="18"/>
                <w:szCs w:val="18"/>
                <w:lang w:val="en-US" w:eastAsia="zh-CN"/>
                <w14:ligatures w14:val="none"/>
              </w:rPr>
              <w:t>原用友医疗HRP会计核算与院内系统的接口改造</w:t>
            </w: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8"/>
                <w:szCs w:val="18"/>
                <w14:ligatures w14:val="none"/>
              </w:rPr>
            </w:pPr>
            <w:r>
              <w:rPr>
                <w:rFonts w:hint="eastAsia" w:ascii="宋体" w:hAnsi="宋体" w:eastAsia="宋体" w:cs="宋体"/>
                <w:color w:val="000000"/>
                <w:kern w:val="0"/>
                <w:sz w:val="18"/>
                <w:szCs w:val="18"/>
                <w14:ligatures w14:val="none"/>
              </w:rPr>
              <w:t>1</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14:ligatures w14:val="none"/>
              </w:rPr>
            </w:pPr>
            <w:r>
              <w:rPr>
                <w:rFonts w:hint="eastAsia" w:ascii="宋体" w:hAnsi="宋体" w:eastAsia="宋体" w:cs="宋体"/>
                <w:color w:val="000000"/>
                <w:kern w:val="0"/>
                <w:sz w:val="18"/>
                <w:szCs w:val="18"/>
                <w14:ligatures w14:val="none"/>
              </w:rPr>
              <w:t>改造原用友医疗HRP</w:t>
            </w:r>
            <w:r>
              <w:rPr>
                <w:rFonts w:hint="eastAsia" w:ascii="宋体" w:hAnsi="宋体" w:eastAsia="宋体" w:cs="宋体"/>
                <w:color w:val="000000"/>
                <w:kern w:val="0"/>
                <w:sz w:val="18"/>
                <w:szCs w:val="18"/>
                <w:lang w:val="en-US" w:eastAsia="zh-CN"/>
                <w14:ligatures w14:val="none"/>
              </w:rPr>
              <w:t>与院内系统的在用</w:t>
            </w:r>
            <w:r>
              <w:rPr>
                <w:rFonts w:hint="eastAsia" w:ascii="宋体" w:hAnsi="宋体" w:eastAsia="宋体" w:cs="宋体"/>
                <w:color w:val="000000"/>
                <w:kern w:val="0"/>
                <w:sz w:val="18"/>
                <w:szCs w:val="18"/>
                <w14:ligatures w14:val="none"/>
              </w:rPr>
              <w:t>接口程序，建立原会计核算接口与新建24年账套的数据交互</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8"/>
                <w:szCs w:val="18"/>
                <w14:ligatures w14:val="none"/>
              </w:rPr>
            </w:pPr>
            <w:r>
              <w:rPr>
                <w:rFonts w:hint="eastAsia" w:ascii="宋体" w:hAnsi="宋体" w:eastAsia="宋体" w:cs="宋体"/>
                <w:color w:val="000000"/>
                <w:kern w:val="0"/>
                <w:sz w:val="18"/>
                <w:szCs w:val="18"/>
                <w14:ligatures w14:val="none"/>
              </w:rPr>
              <w:t>　</w:t>
            </w:r>
          </w:p>
        </w:tc>
      </w:tr>
      <w:tr>
        <w:tblPrEx>
          <w:tblCellMar>
            <w:top w:w="0" w:type="dxa"/>
            <w:left w:w="108" w:type="dxa"/>
            <w:bottom w:w="0" w:type="dxa"/>
            <w:right w:w="108" w:type="dxa"/>
          </w:tblCellMar>
        </w:tblPrEx>
        <w:trPr>
          <w:trHeight w:val="600" w:hRule="atLeast"/>
        </w:trPr>
        <w:tc>
          <w:tcPr>
            <w:tcW w:w="85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14:ligatures w14:val="none"/>
              </w:rPr>
            </w:pPr>
            <w:r>
              <w:rPr>
                <w:rFonts w:hint="eastAsia" w:ascii="宋体" w:hAnsi="宋体" w:eastAsia="宋体" w:cs="宋体"/>
                <w:color w:val="000000"/>
                <w:kern w:val="0"/>
                <w:sz w:val="22"/>
                <w14:ligatures w14:val="none"/>
              </w:rPr>
              <w:t>3</w:t>
            </w:r>
          </w:p>
        </w:tc>
        <w:tc>
          <w:tcPr>
            <w:tcW w:w="29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8"/>
                <w:szCs w:val="18"/>
                <w14:ligatures w14:val="none"/>
              </w:rPr>
            </w:pPr>
            <w:r>
              <w:rPr>
                <w:rFonts w:hint="eastAsia" w:ascii="宋体" w:hAnsi="宋体" w:eastAsia="宋体" w:cs="宋体"/>
                <w:color w:val="000000"/>
                <w:kern w:val="0"/>
                <w:sz w:val="18"/>
                <w:szCs w:val="18"/>
                <w14:ligatures w14:val="none"/>
              </w:rPr>
              <w:t>一体化接口开发及实施</w:t>
            </w: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8"/>
                <w:szCs w:val="18"/>
                <w14:ligatures w14:val="none"/>
              </w:rPr>
            </w:pPr>
            <w:r>
              <w:rPr>
                <w:rFonts w:hint="eastAsia" w:ascii="宋体" w:hAnsi="宋体" w:eastAsia="宋体" w:cs="宋体"/>
                <w:color w:val="000000"/>
                <w:kern w:val="0"/>
                <w:sz w:val="18"/>
                <w:szCs w:val="18"/>
                <w14:ligatures w14:val="none"/>
              </w:rPr>
              <w:t>1</w:t>
            </w:r>
          </w:p>
        </w:tc>
        <w:tc>
          <w:tcPr>
            <w:tcW w:w="3827"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 w:val="18"/>
                <w:szCs w:val="18"/>
                <w14:ligatures w14:val="none"/>
              </w:rPr>
            </w:pPr>
            <w:r>
              <w:rPr>
                <w:rFonts w:hint="eastAsia" w:ascii="宋体" w:hAnsi="宋体" w:eastAsia="宋体" w:cs="宋体"/>
                <w:color w:val="000000"/>
                <w:kern w:val="0"/>
                <w:sz w:val="18"/>
                <w:szCs w:val="18"/>
                <w14:ligatures w14:val="none"/>
              </w:rPr>
              <w:t>实现原用友医疗HRP系统与“预算管理一体化单位会计核算模块”间数据交互</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8"/>
                <w:szCs w:val="18"/>
                <w14:ligatures w14:val="none"/>
              </w:rPr>
            </w:pPr>
            <w:r>
              <w:rPr>
                <w:rFonts w:hint="eastAsia" w:ascii="宋体" w:hAnsi="宋体" w:eastAsia="宋体" w:cs="宋体"/>
                <w:color w:val="000000"/>
                <w:kern w:val="0"/>
                <w:sz w:val="18"/>
                <w:szCs w:val="18"/>
                <w14:ligatures w14:val="none"/>
              </w:rPr>
              <w:t>　</w:t>
            </w:r>
          </w:p>
        </w:tc>
      </w:tr>
      <w:bookmarkEnd w:id="0"/>
    </w:tbl>
    <w:p>
      <w:pPr>
        <w:pStyle w:val="2"/>
      </w:pPr>
      <w:r>
        <w:rPr>
          <w:rFonts w:hint="eastAsia"/>
        </w:rPr>
        <w:t>1采购内容如下：</w:t>
      </w:r>
    </w:p>
    <w:p/>
    <w:bookmarkEnd w:id="1"/>
    <w:p>
      <w:pPr>
        <w:pStyle w:val="2"/>
        <w:numPr>
          <w:ilvl w:val="0"/>
          <w:numId w:val="1"/>
        </w:numPr>
        <w:spacing w:before="45" w:beforeAutospacing="0"/>
      </w:pPr>
      <w:bookmarkStart w:id="2" w:name="_Toc18720"/>
      <w:r>
        <w:rPr>
          <w:rFonts w:hint="eastAsia"/>
        </w:rPr>
        <w:t>接口建设目标：</w:t>
      </w:r>
    </w:p>
    <w:p>
      <w:pPr>
        <w:spacing w:line="360" w:lineRule="auto"/>
        <w:ind w:firstLine="480" w:firstLineChars="200"/>
        <w:rPr>
          <w:rFonts w:ascii="宋体" w:hAnsi="宋体" w:eastAsia="宋体" w:cs="仿宋_GB2312"/>
          <w:sz w:val="24"/>
          <w:szCs w:val="24"/>
        </w:rPr>
      </w:pPr>
      <w:r>
        <w:rPr>
          <w:rFonts w:hint="eastAsia" w:ascii="宋体" w:hAnsi="宋体" w:eastAsia="宋体" w:cs="仿宋"/>
          <w:sz w:val="24"/>
          <w:szCs w:val="24"/>
        </w:rPr>
        <w:t>实现医院</w:t>
      </w:r>
      <w:r>
        <w:rPr>
          <w:rFonts w:hint="eastAsia" w:ascii="宋体" w:hAnsi="宋体" w:eastAsia="宋体" w:cs="宋体"/>
          <w:color w:val="000000"/>
          <w:kern w:val="0"/>
          <w:sz w:val="24"/>
          <w:szCs w:val="24"/>
          <w14:ligatures w14:val="none"/>
        </w:rPr>
        <w:t>原用友医疗HRP系统</w:t>
      </w:r>
      <w:r>
        <w:rPr>
          <w:rFonts w:hint="eastAsia" w:ascii="宋体" w:hAnsi="宋体" w:eastAsia="宋体" w:cs="仿宋"/>
          <w:sz w:val="24"/>
          <w:szCs w:val="24"/>
        </w:rPr>
        <w:t>与财政“预算管理一体化单位会计核算模块”间数据交互。医院全部资金的核算信息须按月接入“预算管理一体化单位会计核算模块”，并通过单位核算系统与“预算管理一体化单位会计核算模块”双边校验包括但不限于按功能分类和经济分类的科目余额、资产负债表、收支表等内容一致。</w:t>
      </w:r>
      <w:r>
        <w:rPr>
          <w:rFonts w:hint="eastAsia" w:ascii="宋体" w:hAnsi="宋体" w:eastAsia="宋体" w:cs="仿宋_GB2312"/>
          <w:sz w:val="24"/>
          <w:szCs w:val="24"/>
        </w:rPr>
        <w:t>实现单位端与财政端数据的正确交互。</w:t>
      </w:r>
    </w:p>
    <w:p>
      <w:pPr>
        <w:pStyle w:val="2"/>
        <w:numPr>
          <w:ilvl w:val="0"/>
          <w:numId w:val="1"/>
        </w:numPr>
      </w:pPr>
      <w:r>
        <w:rPr>
          <w:rFonts w:hint="eastAsia"/>
        </w:rPr>
        <w:t>技术要求：</w:t>
      </w:r>
    </w:p>
    <w:p>
      <w:pPr>
        <w:spacing w:line="360" w:lineRule="auto"/>
        <w:ind w:firstLine="480" w:firstLineChars="200"/>
        <w:jc w:val="left"/>
        <w:rPr>
          <w:rFonts w:ascii="宋体" w:hAnsi="宋体" w:eastAsia="宋体" w:cs="仿宋"/>
          <w:sz w:val="24"/>
          <w:szCs w:val="24"/>
        </w:rPr>
      </w:pPr>
      <w:r>
        <w:rPr>
          <w:rFonts w:hint="eastAsia" w:ascii="宋体" w:hAnsi="宋体" w:eastAsia="宋体" w:cs="仿宋"/>
          <w:sz w:val="24"/>
          <w:szCs w:val="24"/>
        </w:rPr>
        <w:t>1、为医院</w:t>
      </w:r>
      <w:r>
        <w:rPr>
          <w:rFonts w:hint="eastAsia" w:ascii="宋体" w:hAnsi="宋体" w:eastAsia="宋体" w:cs="宋体"/>
          <w:color w:val="000000"/>
          <w:kern w:val="0"/>
          <w:sz w:val="24"/>
          <w:szCs w:val="24"/>
          <w14:ligatures w14:val="none"/>
        </w:rPr>
        <w:t>原用友医疗HRP系统</w:t>
      </w:r>
      <w:r>
        <w:rPr>
          <w:rFonts w:hint="eastAsia" w:ascii="宋体" w:hAnsi="宋体" w:eastAsia="宋体" w:cs="仿宋"/>
          <w:sz w:val="24"/>
          <w:szCs w:val="24"/>
        </w:rPr>
        <w:t>提供数据接口开发服务，接收“预算管理一体化单位会计核算模块”相关数据后，严格按照“预算管理一体化单位会计核算模块”接口规范要求生成会计核算数据，并按期推送到“预算管理一体化单位会计核算模块”。</w:t>
      </w:r>
    </w:p>
    <w:p>
      <w:pPr>
        <w:spacing w:line="360" w:lineRule="auto"/>
        <w:ind w:firstLine="480" w:firstLineChars="200"/>
        <w:jc w:val="left"/>
        <w:rPr>
          <w:rFonts w:ascii="宋体" w:hAnsi="宋体" w:eastAsia="宋体" w:cs="仿宋"/>
          <w:sz w:val="24"/>
          <w:szCs w:val="24"/>
        </w:rPr>
      </w:pPr>
      <w:r>
        <w:rPr>
          <w:rFonts w:hint="eastAsia" w:ascii="宋体" w:hAnsi="宋体" w:eastAsia="宋体" w:cs="仿宋"/>
          <w:sz w:val="24"/>
          <w:szCs w:val="24"/>
        </w:rPr>
        <w:t>2、数据传入后，医院应核对传入后的账务数据，包括与预算执行、财政总会计账等数据进行核对，并对数据的一致性进行确认。</w:t>
      </w:r>
    </w:p>
    <w:p>
      <w:pPr>
        <w:widowControl/>
        <w:jc w:val="left"/>
        <w:rPr>
          <w:rFonts w:ascii="宋体" w:hAnsi="宋体" w:eastAsia="宋体" w:cs="仿宋"/>
          <w:sz w:val="24"/>
          <w:szCs w:val="24"/>
        </w:rPr>
      </w:pPr>
      <w:r>
        <w:rPr>
          <w:rFonts w:ascii="宋体" w:hAnsi="宋体" w:eastAsia="宋体" w:cs="仿宋"/>
          <w:sz w:val="24"/>
          <w:szCs w:val="24"/>
        </w:rPr>
        <w:br w:type="page"/>
      </w:r>
      <w:bookmarkStart w:id="4" w:name="_GoBack"/>
      <w:bookmarkEnd w:id="4"/>
    </w:p>
    <w:p>
      <w:pPr>
        <w:pStyle w:val="2"/>
        <w:numPr>
          <w:ilvl w:val="0"/>
          <w:numId w:val="1"/>
        </w:numPr>
      </w:pPr>
      <w:r>
        <w:rPr>
          <w:rFonts w:hint="eastAsia"/>
        </w:rPr>
        <w:t>数据交互方式</w:t>
      </w:r>
      <w:bookmarkEnd w:id="2"/>
      <w:r>
        <w:rPr>
          <w:rFonts w:hint="eastAsia"/>
        </w:rPr>
        <w:t>：</w:t>
      </w:r>
    </w:p>
    <w:p>
      <w:pPr>
        <w:spacing w:line="360" w:lineRule="auto"/>
        <w:ind w:firstLine="480" w:firstLineChars="200"/>
        <w:rPr>
          <w:rFonts w:ascii="宋体" w:hAnsi="宋体" w:eastAsia="宋体" w:cs="仿宋_GB2312"/>
          <w:sz w:val="24"/>
          <w:szCs w:val="24"/>
        </w:rPr>
      </w:pPr>
      <w:r>
        <w:rPr>
          <w:rFonts w:hint="eastAsia" w:ascii="宋体" w:hAnsi="宋体" w:eastAsia="宋体" w:cs="仿宋_GB2312"/>
          <w:sz w:val="24"/>
          <w:szCs w:val="24"/>
        </w:rPr>
        <w:t>1、预算管理一体化系统核算模块将需要提供给医疗卫生机构的数据，通过调用财政统一数据服务平台提供的微服务接口写入到数据服务平台前置库。</w:t>
      </w:r>
    </w:p>
    <w:p>
      <w:pPr>
        <w:spacing w:line="360" w:lineRule="auto"/>
        <w:ind w:firstLine="480" w:firstLineChars="200"/>
        <w:rPr>
          <w:rFonts w:ascii="宋体" w:hAnsi="宋体" w:eastAsia="宋体" w:cs="仿宋_GB2312"/>
          <w:sz w:val="24"/>
          <w:szCs w:val="24"/>
        </w:rPr>
      </w:pPr>
      <w:r>
        <w:rPr>
          <w:rFonts w:hint="eastAsia" w:ascii="宋体" w:hAnsi="宋体" w:eastAsia="宋体" w:cs="仿宋_GB2312"/>
          <w:sz w:val="24"/>
          <w:szCs w:val="24"/>
        </w:rPr>
        <w:t>2、医疗卫生机构通过调用财政统一数据服务平台提供的微服务接口，下载财政统一数据服务平台前置库基础数据。</w:t>
      </w:r>
    </w:p>
    <w:p>
      <w:pPr>
        <w:spacing w:line="360" w:lineRule="auto"/>
        <w:ind w:firstLine="480" w:firstLineChars="200"/>
        <w:rPr>
          <w:rFonts w:ascii="宋体" w:hAnsi="宋体" w:eastAsia="宋体" w:cs="仿宋_GB2312"/>
          <w:sz w:val="24"/>
          <w:szCs w:val="24"/>
        </w:rPr>
      </w:pPr>
      <w:r>
        <w:rPr>
          <w:rFonts w:hint="eastAsia" w:ascii="宋体" w:hAnsi="宋体" w:eastAsia="宋体" w:cs="仿宋_GB2312"/>
          <w:sz w:val="24"/>
          <w:szCs w:val="24"/>
        </w:rPr>
        <w:t>3、医疗卫生机构通过调用财政统一数据服务平台提供的微服务接口，上传核算业务到财政统一数据服务平台前置库。</w:t>
      </w:r>
    </w:p>
    <w:p>
      <w:pPr>
        <w:spacing w:line="360" w:lineRule="auto"/>
        <w:ind w:firstLine="480" w:firstLineChars="200"/>
        <w:rPr>
          <w:rFonts w:ascii="宋体" w:hAnsi="宋体" w:eastAsia="宋体" w:cs="仿宋_GB2312"/>
          <w:sz w:val="24"/>
          <w:szCs w:val="24"/>
        </w:rPr>
      </w:pPr>
      <w:r>
        <w:rPr>
          <w:rFonts w:hint="eastAsia" w:ascii="宋体" w:hAnsi="宋体" w:eastAsia="宋体" w:cs="仿宋_GB2312"/>
          <w:sz w:val="24"/>
          <w:szCs w:val="24"/>
        </w:rPr>
        <w:t>4、预算管理一体化系统核算模块通过调用财政统一数据服务平台提供的数据接口，读取医疗卫生机构上传到财政统一数据服务平台前置库的数据。</w:t>
      </w:r>
    </w:p>
    <w:p>
      <w:pPr>
        <w:pStyle w:val="2"/>
        <w:numPr>
          <w:ilvl w:val="0"/>
          <w:numId w:val="1"/>
        </w:numPr>
      </w:pPr>
      <w:bookmarkStart w:id="3" w:name="_Toc17066"/>
      <w:r>
        <w:rPr>
          <w:rFonts w:hint="eastAsia"/>
        </w:rPr>
        <w:t>数据交互内容</w:t>
      </w:r>
      <w:bookmarkEnd w:id="3"/>
      <w:r>
        <w:rPr>
          <w:rFonts w:hint="eastAsia"/>
        </w:rPr>
        <w:t>：</w:t>
      </w:r>
    </w:p>
    <w:p>
      <w:pPr>
        <w:spacing w:line="360" w:lineRule="auto"/>
        <w:ind w:firstLine="480" w:firstLineChars="200"/>
        <w:rPr>
          <w:rFonts w:ascii="宋体" w:hAnsi="宋体" w:eastAsia="宋体" w:cs="仿宋_GB2312"/>
          <w:sz w:val="24"/>
          <w:szCs w:val="24"/>
        </w:rPr>
      </w:pPr>
      <w:r>
        <w:rPr>
          <w:rFonts w:hint="eastAsia" w:ascii="宋体" w:hAnsi="宋体" w:eastAsia="宋体" w:cs="仿宋_GB2312"/>
          <w:sz w:val="24"/>
          <w:szCs w:val="24"/>
        </w:rPr>
        <w:t>根据业务需求，合理规划数据库库表用户以及数据存储空间，合理分配数据库账号读写权限，建立24张数据库中间表。包括单位基本信息表、单位账套表、辅助核算挂接表、凭证类型表、支出功能分类表、部门经济分类表、预算项目表、指标文号表、资金性质表、单位会计盈余结余差异类型表、现金流量项表、往来单位表、经费性质表、债权股权单位表、资产大类表、会计科目表、业务数据-国库集中支付申请表、业务数据-国库集中支付凭证表、单位账会计凭证主表、单位会计凭证分录表、单位会计盈余与结余差异表、单位会计现金流量表、单位会计余额发生额汇总表、单位会计原始单据关联表。</w:t>
      </w:r>
    </w:p>
    <w:p>
      <w:pPr>
        <w:pStyle w:val="2"/>
        <w:numPr>
          <w:ilvl w:val="0"/>
          <w:numId w:val="1"/>
        </w:numPr>
      </w:pPr>
      <w:r>
        <w:rPr>
          <w:rFonts w:hint="eastAsia"/>
        </w:rPr>
        <w:t>接口规范及标准要求：</w:t>
      </w:r>
    </w:p>
    <w:p>
      <w:pPr>
        <w:spacing w:line="360" w:lineRule="auto"/>
        <w:ind w:firstLine="480" w:firstLineChars="200"/>
        <w:rPr>
          <w:rFonts w:ascii="宋体" w:hAnsi="宋体" w:eastAsia="宋体"/>
          <w:sz w:val="24"/>
          <w:szCs w:val="24"/>
        </w:rPr>
      </w:pPr>
      <w:r>
        <w:rPr>
          <w:rFonts w:hint="eastAsia" w:ascii="宋体" w:hAnsi="宋体" w:eastAsia="宋体"/>
          <w:sz w:val="24"/>
          <w:szCs w:val="24"/>
        </w:rPr>
        <w:t>根据</w:t>
      </w:r>
      <w:r>
        <w:rPr>
          <w:rFonts w:ascii="宋体" w:hAnsi="宋体" w:eastAsia="宋体"/>
          <w:sz w:val="24"/>
          <w:szCs w:val="24"/>
        </w:rPr>
        <w:t>云南省卫生健康委员会</w:t>
      </w:r>
      <w:r>
        <w:rPr>
          <w:rFonts w:hint="eastAsia" w:ascii="宋体" w:hAnsi="宋体" w:eastAsia="宋体"/>
          <w:sz w:val="24"/>
          <w:szCs w:val="24"/>
        </w:rPr>
        <w:t>、</w:t>
      </w:r>
      <w:r>
        <w:rPr>
          <w:rFonts w:ascii="宋体" w:hAnsi="宋体" w:eastAsia="宋体"/>
          <w:sz w:val="24"/>
          <w:szCs w:val="24"/>
        </w:rPr>
        <w:t>云南省财政厅</w:t>
      </w:r>
      <w:r>
        <w:rPr>
          <w:rFonts w:hint="eastAsia" w:ascii="宋体" w:hAnsi="宋体" w:eastAsia="宋体"/>
          <w:sz w:val="24"/>
          <w:szCs w:val="24"/>
        </w:rPr>
        <w:t>《</w:t>
      </w:r>
      <w:r>
        <w:rPr>
          <w:rFonts w:ascii="宋体" w:hAnsi="宋体" w:eastAsia="宋体"/>
          <w:sz w:val="24"/>
          <w:szCs w:val="24"/>
        </w:rPr>
        <w:t>云卫财务发〔2023〕92 号</w:t>
      </w:r>
      <w:r>
        <w:rPr>
          <w:rFonts w:hint="eastAsia" w:ascii="宋体" w:hAnsi="宋体" w:eastAsia="宋体"/>
          <w:sz w:val="24"/>
          <w:szCs w:val="24"/>
        </w:rPr>
        <w:t>》文件，</w:t>
      </w:r>
      <w:r>
        <w:rPr>
          <w:rFonts w:ascii="宋体" w:hAnsi="宋体" w:eastAsia="宋体"/>
          <w:sz w:val="24"/>
          <w:szCs w:val="24"/>
        </w:rPr>
        <w:t>实施全省医疗卫生机构政府会计核算管理改革的通知</w:t>
      </w:r>
      <w:r>
        <w:rPr>
          <w:rFonts w:hint="eastAsia" w:ascii="宋体" w:hAnsi="宋体" w:eastAsia="宋体"/>
          <w:sz w:val="24"/>
          <w:szCs w:val="24"/>
        </w:rPr>
        <w:t>。</w:t>
      </w:r>
      <w:r>
        <w:rPr>
          <w:rFonts w:ascii="宋体" w:hAnsi="宋体" w:eastAsia="宋体"/>
          <w:sz w:val="24"/>
          <w:szCs w:val="24"/>
        </w:rPr>
        <w:t>符合以下条件的单位建议通过数据接口接入“预算管理一 体化单位会计核算模块”：核算业务量较大</w:t>
      </w:r>
      <w:r>
        <w:rPr>
          <w:rFonts w:hint="eastAsia" w:ascii="宋体" w:hAnsi="宋体" w:eastAsia="宋体"/>
          <w:sz w:val="24"/>
          <w:szCs w:val="24"/>
        </w:rPr>
        <w:t>、</w:t>
      </w:r>
      <w:r>
        <w:rPr>
          <w:rFonts w:ascii="宋体" w:hAnsi="宋体" w:eastAsia="宋体"/>
          <w:sz w:val="24"/>
          <w:szCs w:val="24"/>
        </w:rPr>
        <w:t>业务比较复杂的单位；使用独立开发部署的会计核算系统，且运转比较成熟的单位；因成本核算等特殊原因暂不能直接使用“预算管理一体化单位会计核算模块”的单位。通过数据接口接入“预算管理 一体化单位会计核算模块”的单位应将财政拨款收支、事业收 支、事业单位经营收支和其他收支等全部经济业务或事项核算数据完整接入“预算管理一体化单位会计核算模块”，达到财 政部预算管理一体化规范标准和考核要求</w:t>
      </w:r>
      <w:r>
        <w:rPr>
          <w:rFonts w:hint="eastAsia" w:ascii="宋体" w:hAnsi="宋体" w:eastAsia="宋体"/>
          <w:sz w:val="24"/>
          <w:szCs w:val="24"/>
        </w:rPr>
        <w:t>，具体标准参考以下文件：</w:t>
      </w:r>
    </w:p>
    <w:p>
      <w:pPr>
        <w:pStyle w:val="2"/>
        <w:numPr>
          <w:ilvl w:val="0"/>
          <w:numId w:val="1"/>
        </w:numPr>
      </w:pPr>
      <w:r>
        <w:rPr>
          <w:rFonts w:hint="eastAsia"/>
        </w:rPr>
        <w:t>服务内容：</w:t>
      </w:r>
    </w:p>
    <w:p>
      <w:pPr>
        <w:spacing w:line="360" w:lineRule="auto"/>
        <w:ind w:firstLine="480" w:firstLineChars="200"/>
        <w:jc w:val="left"/>
        <w:rPr>
          <w:rFonts w:ascii="宋体" w:hAnsi="宋体" w:eastAsia="宋体" w:cs="仿宋"/>
          <w:sz w:val="24"/>
          <w:szCs w:val="24"/>
        </w:rPr>
      </w:pPr>
      <w:r>
        <w:rPr>
          <w:rFonts w:hint="eastAsia" w:ascii="宋体" w:hAnsi="宋体" w:eastAsia="宋体" w:cs="仿宋"/>
          <w:sz w:val="24"/>
          <w:szCs w:val="24"/>
        </w:rPr>
        <w:t>1、医院</w:t>
      </w:r>
      <w:r>
        <w:rPr>
          <w:rFonts w:hint="eastAsia" w:ascii="宋体" w:hAnsi="宋体" w:eastAsia="宋体" w:cs="宋体"/>
          <w:color w:val="000000"/>
          <w:kern w:val="0"/>
          <w:sz w:val="24"/>
          <w:szCs w:val="24"/>
          <w14:ligatures w14:val="none"/>
        </w:rPr>
        <w:t>原用友医疗HRP</w:t>
      </w:r>
      <w:r>
        <w:rPr>
          <w:rFonts w:hint="eastAsia" w:ascii="宋体" w:hAnsi="宋体" w:eastAsia="宋体" w:cs="仿宋"/>
          <w:sz w:val="24"/>
          <w:szCs w:val="24"/>
        </w:rPr>
        <w:t>系统与“预算管理一体化单位会计核算模块”的接口开发、调试、培训技术支持服务。</w:t>
      </w:r>
    </w:p>
    <w:p>
      <w:pPr>
        <w:spacing w:line="360" w:lineRule="auto"/>
        <w:ind w:firstLine="480" w:firstLineChars="200"/>
        <w:jc w:val="left"/>
        <w:rPr>
          <w:rFonts w:ascii="宋体" w:hAnsi="宋体" w:eastAsia="宋体" w:cs="仿宋"/>
          <w:sz w:val="24"/>
          <w:szCs w:val="24"/>
        </w:rPr>
      </w:pPr>
      <w:r>
        <w:rPr>
          <w:rFonts w:hint="eastAsia" w:ascii="宋体" w:hAnsi="宋体" w:eastAsia="宋体" w:cs="仿宋"/>
          <w:sz w:val="24"/>
          <w:szCs w:val="24"/>
        </w:rPr>
        <w:t>2、医院日常使用“预算管理一体化单位会计核算模块”接口过程中常见问题的解决。</w:t>
      </w:r>
    </w:p>
    <w:p>
      <w:pPr>
        <w:spacing w:line="360" w:lineRule="auto"/>
        <w:ind w:firstLine="480" w:firstLineChars="200"/>
        <w:jc w:val="left"/>
        <w:rPr>
          <w:rFonts w:ascii="宋体" w:hAnsi="宋体" w:eastAsia="宋体" w:cs="仿宋"/>
          <w:sz w:val="24"/>
          <w:szCs w:val="24"/>
        </w:rPr>
      </w:pPr>
      <w:r>
        <w:rPr>
          <w:rFonts w:hint="eastAsia" w:ascii="宋体" w:hAnsi="宋体" w:eastAsia="宋体" w:cs="仿宋"/>
          <w:sz w:val="24"/>
          <w:szCs w:val="24"/>
        </w:rPr>
        <w:t>3、自项目合同签订之日起提供至少一年免费售后服务。</w:t>
      </w:r>
    </w:p>
    <w:p>
      <w:pPr>
        <w:spacing w:line="360" w:lineRule="auto"/>
        <w:ind w:firstLine="480" w:firstLineChars="200"/>
        <w:jc w:val="left"/>
        <w:rPr>
          <w:rFonts w:ascii="宋体" w:hAnsi="宋体" w:eastAsia="宋体" w:cs="仿宋"/>
          <w:sz w:val="24"/>
          <w:szCs w:val="24"/>
        </w:rPr>
      </w:pPr>
      <w:r>
        <w:rPr>
          <w:rFonts w:hint="eastAsia" w:ascii="宋体" w:hAnsi="宋体" w:eastAsia="宋体" w:cs="仿宋"/>
          <w:sz w:val="24"/>
          <w:szCs w:val="24"/>
        </w:rPr>
        <w:t>4、具体服务内容如下:</w:t>
      </w:r>
    </w:p>
    <w:p>
      <w:pPr>
        <w:spacing w:line="360" w:lineRule="auto"/>
        <w:jc w:val="left"/>
        <w:rPr>
          <w:rFonts w:ascii="宋体" w:hAnsi="宋体" w:eastAsia="宋体" w:cs="仿宋"/>
          <w:sz w:val="24"/>
          <w:szCs w:val="24"/>
        </w:rPr>
      </w:pPr>
      <w:r>
        <w:rPr>
          <w:rFonts w:hint="eastAsia" w:ascii="宋体" w:hAnsi="宋体" w:eastAsia="宋体" w:cs="仿宋"/>
          <w:sz w:val="24"/>
          <w:szCs w:val="24"/>
        </w:rPr>
        <w:t xml:space="preserve">（1）、系统出故障时做到7*24小时随时响应，采用线上远程处理，包括电话维护和远程维护两种方式解决问题（电话维护和远程维护的响应时间为：1小时内响应服务并反馈意见，2个小时内解决问题）；线上远程无法处理时，启动现场服务，保证技术人员24小时内现场响应并解决问题。并于5小时内修复，特殊情况在24小时内无法修复的，将采取应急措施使系统正常使用。 </w:t>
      </w:r>
    </w:p>
    <w:p>
      <w:pPr>
        <w:spacing w:line="360" w:lineRule="auto"/>
        <w:jc w:val="left"/>
        <w:rPr>
          <w:rFonts w:ascii="宋体" w:hAnsi="宋体" w:eastAsia="宋体" w:cs="仿宋"/>
          <w:sz w:val="24"/>
          <w:szCs w:val="24"/>
        </w:rPr>
      </w:pPr>
      <w:r>
        <w:rPr>
          <w:rFonts w:hint="eastAsia" w:ascii="宋体" w:hAnsi="宋体" w:eastAsia="宋体" w:cs="仿宋"/>
          <w:sz w:val="24"/>
          <w:szCs w:val="24"/>
        </w:rPr>
        <w:t>（2）、系统接口运维维护服务时保证系统接口的一致性与稳定性；对医院</w:t>
      </w:r>
      <w:r>
        <w:rPr>
          <w:rFonts w:hint="eastAsia" w:ascii="宋体" w:hAnsi="宋体" w:eastAsia="宋体" w:cs="仿宋_GB2312"/>
          <w:sz w:val="24"/>
          <w:szCs w:val="24"/>
        </w:rPr>
        <w:t>财政预算管理一体化平台接口</w:t>
      </w:r>
      <w:r>
        <w:rPr>
          <w:rFonts w:hint="eastAsia" w:ascii="宋体" w:hAnsi="宋体" w:eastAsia="宋体" w:cs="仿宋"/>
          <w:sz w:val="24"/>
          <w:szCs w:val="24"/>
        </w:rPr>
        <w:t>的每一次改变或是升级都必须对需求进行严格检查。</w:t>
      </w:r>
    </w:p>
    <w:p>
      <w:pPr>
        <w:spacing w:line="360" w:lineRule="auto"/>
        <w:jc w:val="left"/>
        <w:rPr>
          <w:rFonts w:ascii="宋体" w:hAnsi="宋体" w:eastAsia="宋体" w:cs="仿宋"/>
          <w:sz w:val="24"/>
          <w:szCs w:val="24"/>
        </w:rPr>
      </w:pPr>
      <w:r>
        <w:rPr>
          <w:rFonts w:hint="eastAsia" w:ascii="宋体" w:hAnsi="宋体" w:eastAsia="宋体" w:cs="仿宋"/>
          <w:sz w:val="24"/>
          <w:szCs w:val="24"/>
        </w:rPr>
        <w:t>（3）、提供对影响到</w:t>
      </w:r>
      <w:r>
        <w:rPr>
          <w:rFonts w:hint="eastAsia" w:ascii="宋体" w:hAnsi="宋体" w:eastAsia="宋体" w:cs="仿宋_GB2312"/>
          <w:sz w:val="24"/>
          <w:szCs w:val="24"/>
        </w:rPr>
        <w:t>财务系统与财政预算管理一体化平台接口</w:t>
      </w:r>
      <w:r>
        <w:rPr>
          <w:rFonts w:hint="eastAsia" w:ascii="宋体" w:hAnsi="宋体" w:eastAsia="宋体" w:cs="仿宋"/>
          <w:sz w:val="24"/>
          <w:szCs w:val="24"/>
        </w:rPr>
        <w:t>平稳运行的问题进行解答与分析，并提出解决方案；及时完成程序错误的修改、维护、实施。</w:t>
      </w:r>
    </w:p>
    <w:p>
      <w:pPr>
        <w:spacing w:line="360" w:lineRule="auto"/>
        <w:jc w:val="left"/>
        <w:rPr>
          <w:rFonts w:ascii="宋体" w:hAnsi="宋体" w:eastAsia="宋体" w:cs="仿宋"/>
          <w:sz w:val="24"/>
          <w:szCs w:val="24"/>
        </w:rPr>
      </w:pPr>
      <w:r>
        <w:rPr>
          <w:rFonts w:hint="eastAsia" w:ascii="宋体" w:hAnsi="宋体" w:eastAsia="宋体" w:cs="仿宋"/>
          <w:sz w:val="24"/>
          <w:szCs w:val="24"/>
        </w:rPr>
        <w:t xml:space="preserve">（4）、承诺对所有的维护活动进行记录，并形成规范的文档，例如记录时间、地点、原因等，并注明完成的时间和人员。 </w:t>
      </w:r>
    </w:p>
    <w:p>
      <w:pPr>
        <w:widowControl/>
        <w:jc w:val="left"/>
      </w:pPr>
      <w:r>
        <w:br w:type="page"/>
      </w:r>
    </w:p>
    <w:p>
      <w:pPr>
        <w:pStyle w:val="2"/>
        <w:numPr>
          <w:ilvl w:val="0"/>
          <w:numId w:val="1"/>
        </w:numPr>
        <w:rPr>
          <w:rFonts w:hint="eastAsia"/>
        </w:rPr>
      </w:pPr>
      <w:r>
        <w:rPr>
          <w:rFonts w:hint="eastAsia"/>
        </w:rPr>
        <w:t>项目实施要求：</w:t>
      </w:r>
    </w:p>
    <w:p>
      <w:pPr>
        <w:widowControl/>
        <w:spacing w:line="360" w:lineRule="auto"/>
        <w:ind w:firstLine="240" w:firstLineChars="100"/>
        <w:jc w:val="left"/>
        <w:rPr>
          <w:rFonts w:ascii="宋体" w:hAnsi="宋体" w:eastAsia="宋体"/>
          <w:sz w:val="24"/>
          <w:szCs w:val="24"/>
        </w:rPr>
      </w:pPr>
      <w:r>
        <w:rPr>
          <w:rFonts w:hint="eastAsia" w:ascii="宋体" w:hAnsi="宋体" w:eastAsia="宋体"/>
          <w:sz w:val="24"/>
          <w:szCs w:val="24"/>
        </w:rPr>
        <w:t>根据</w:t>
      </w:r>
      <w:r>
        <w:rPr>
          <w:rFonts w:ascii="宋体" w:hAnsi="宋体" w:eastAsia="宋体"/>
          <w:sz w:val="24"/>
          <w:szCs w:val="24"/>
        </w:rPr>
        <w:t>云南省卫生健康委员会文件云南省财政厅 云卫财务发〔2023〕92 号</w:t>
      </w:r>
      <w:r>
        <w:rPr>
          <w:rFonts w:hint="eastAsia" w:ascii="宋体" w:hAnsi="宋体" w:eastAsia="宋体"/>
          <w:sz w:val="24"/>
          <w:szCs w:val="24"/>
        </w:rPr>
        <w:t>文件要求：结合我院的实际需求，此项目特提出如下要求：</w:t>
      </w:r>
    </w:p>
    <w:p>
      <w:pPr>
        <w:widowControl/>
        <w:spacing w:line="360" w:lineRule="auto"/>
        <w:ind w:firstLine="241" w:firstLineChars="100"/>
        <w:jc w:val="left"/>
        <w:rPr>
          <w:rFonts w:ascii="宋体" w:hAnsi="宋体" w:eastAsia="宋体"/>
          <w:sz w:val="24"/>
          <w:szCs w:val="24"/>
        </w:rPr>
      </w:pPr>
      <w:r>
        <w:rPr>
          <w:rFonts w:hint="eastAsia" w:ascii="宋体" w:hAnsi="宋体" w:eastAsia="宋体"/>
          <w:b/>
          <w:bCs/>
          <w:sz w:val="24"/>
          <w:szCs w:val="24"/>
        </w:rPr>
        <w:t>一、</w:t>
      </w:r>
      <w:r>
        <w:rPr>
          <w:rFonts w:ascii="宋体" w:hAnsi="宋体" w:eastAsia="宋体"/>
          <w:b/>
          <w:bCs/>
          <w:sz w:val="24"/>
          <w:szCs w:val="24"/>
        </w:rPr>
        <w:t>完善核算信息</w:t>
      </w:r>
      <w:r>
        <w:rPr>
          <w:rFonts w:hint="eastAsia" w:ascii="宋体" w:hAnsi="宋体" w:eastAsia="宋体"/>
          <w:b/>
          <w:bCs/>
          <w:sz w:val="24"/>
          <w:szCs w:val="24"/>
        </w:rPr>
        <w:t>要求：</w:t>
      </w:r>
      <w:r>
        <w:rPr>
          <w:rFonts w:ascii="宋体" w:hAnsi="宋体" w:eastAsia="宋体"/>
          <w:sz w:val="24"/>
          <w:szCs w:val="24"/>
        </w:rPr>
        <w:t xml:space="preserve"> </w:t>
      </w:r>
    </w:p>
    <w:p>
      <w:pPr>
        <w:pStyle w:val="6"/>
        <w:widowControl/>
        <w:numPr>
          <w:ilvl w:val="0"/>
          <w:numId w:val="2"/>
        </w:numPr>
        <w:spacing w:line="360" w:lineRule="auto"/>
        <w:ind w:firstLineChars="0"/>
        <w:jc w:val="left"/>
        <w:rPr>
          <w:rFonts w:ascii="宋体" w:hAnsi="宋体" w:eastAsia="宋体"/>
          <w:sz w:val="24"/>
          <w:szCs w:val="24"/>
        </w:rPr>
      </w:pPr>
      <w:r>
        <w:rPr>
          <w:rFonts w:hint="eastAsia" w:ascii="宋体" w:hAnsi="宋体" w:eastAsia="宋体"/>
          <w:sz w:val="24"/>
          <w:szCs w:val="24"/>
        </w:rPr>
        <w:t>改造2024年原用友医疗H</w:t>
      </w:r>
      <w:r>
        <w:rPr>
          <w:rFonts w:ascii="宋体" w:hAnsi="宋体" w:eastAsia="宋体"/>
          <w:sz w:val="24"/>
          <w:szCs w:val="24"/>
        </w:rPr>
        <w:t>PR</w:t>
      </w:r>
      <w:r>
        <w:rPr>
          <w:rFonts w:hint="eastAsia" w:ascii="宋体" w:hAnsi="宋体" w:eastAsia="宋体"/>
          <w:sz w:val="24"/>
          <w:szCs w:val="24"/>
        </w:rPr>
        <w:t>系统，既满足</w:t>
      </w:r>
      <w:r>
        <w:rPr>
          <w:rFonts w:ascii="宋体" w:hAnsi="宋体" w:eastAsia="宋体"/>
          <w:sz w:val="24"/>
          <w:szCs w:val="24"/>
        </w:rPr>
        <w:t>〔2023〕92 号</w:t>
      </w:r>
      <w:r>
        <w:rPr>
          <w:rFonts w:hint="eastAsia" w:ascii="宋体" w:hAnsi="宋体" w:eastAsia="宋体"/>
          <w:sz w:val="24"/>
          <w:szCs w:val="24"/>
        </w:rPr>
        <w:t>文件，又满足医院会计核算的要求</w:t>
      </w:r>
      <w:r>
        <w:rPr>
          <w:rFonts w:ascii="宋体" w:hAnsi="宋体" w:eastAsia="宋体"/>
          <w:sz w:val="24"/>
          <w:szCs w:val="24"/>
        </w:rPr>
        <w:t>。</w:t>
      </w:r>
      <w:r>
        <w:rPr>
          <w:rFonts w:hint="eastAsia" w:ascii="宋体" w:hAnsi="宋体" w:eastAsia="宋体"/>
          <w:sz w:val="24"/>
          <w:szCs w:val="24"/>
        </w:rPr>
        <w:t>达到</w:t>
      </w:r>
      <w:r>
        <w:rPr>
          <w:rFonts w:ascii="宋体" w:hAnsi="宋体" w:eastAsia="宋体"/>
          <w:sz w:val="24"/>
          <w:szCs w:val="24"/>
        </w:rPr>
        <w:t>接入“预算管理一体化单位会计核算模块”</w:t>
      </w:r>
      <w:r>
        <w:rPr>
          <w:rFonts w:hint="eastAsia" w:ascii="宋体" w:hAnsi="宋体" w:eastAsia="宋体"/>
          <w:sz w:val="24"/>
          <w:szCs w:val="24"/>
        </w:rPr>
        <w:t>的标准。</w:t>
      </w:r>
    </w:p>
    <w:p>
      <w:pPr>
        <w:widowControl/>
        <w:spacing w:line="360" w:lineRule="auto"/>
        <w:ind w:left="240"/>
        <w:jc w:val="left"/>
        <w:rPr>
          <w:rFonts w:ascii="宋体" w:hAnsi="宋体" w:eastAsia="宋体"/>
          <w:b/>
          <w:bCs/>
          <w:sz w:val="24"/>
          <w:szCs w:val="24"/>
        </w:rPr>
      </w:pPr>
      <w:r>
        <w:rPr>
          <w:rFonts w:hint="eastAsia" w:ascii="宋体" w:hAnsi="宋体" w:eastAsia="宋体"/>
          <w:b/>
          <w:bCs/>
          <w:sz w:val="24"/>
          <w:szCs w:val="24"/>
        </w:rPr>
        <w:t>二、</w:t>
      </w:r>
      <w:r>
        <w:rPr>
          <w:rFonts w:hint="eastAsia" w:ascii="宋体" w:hAnsi="宋体" w:eastAsia="宋体" w:cs="宋体"/>
          <w:b/>
          <w:bCs/>
          <w:color w:val="000000"/>
          <w:kern w:val="0"/>
          <w:sz w:val="24"/>
          <w:szCs w:val="24"/>
          <w14:ligatures w14:val="none"/>
        </w:rPr>
        <w:t>原用友医疗HRP会计核算接口改造要求：</w:t>
      </w:r>
    </w:p>
    <w:p>
      <w:pPr>
        <w:pStyle w:val="6"/>
        <w:widowControl/>
        <w:numPr>
          <w:ilvl w:val="0"/>
          <w:numId w:val="2"/>
        </w:numPr>
        <w:spacing w:line="360" w:lineRule="auto"/>
        <w:ind w:firstLineChars="0"/>
        <w:jc w:val="left"/>
        <w:rPr>
          <w:rFonts w:ascii="宋体" w:hAnsi="宋体" w:eastAsia="宋体"/>
          <w:sz w:val="24"/>
          <w:szCs w:val="24"/>
        </w:rPr>
      </w:pPr>
      <w:r>
        <w:rPr>
          <w:rFonts w:hint="eastAsia" w:ascii="宋体" w:hAnsi="宋体" w:eastAsia="宋体"/>
          <w:sz w:val="24"/>
          <w:szCs w:val="24"/>
        </w:rPr>
        <w:t>改造过程须熟悉并充分考虑对我院原用友医疗H</w:t>
      </w:r>
      <w:r>
        <w:rPr>
          <w:rFonts w:ascii="宋体" w:hAnsi="宋体" w:eastAsia="宋体"/>
          <w:sz w:val="24"/>
          <w:szCs w:val="24"/>
        </w:rPr>
        <w:t>PR</w:t>
      </w:r>
      <w:r>
        <w:rPr>
          <w:rFonts w:hint="eastAsia" w:ascii="宋体" w:hAnsi="宋体" w:eastAsia="宋体"/>
          <w:sz w:val="24"/>
          <w:szCs w:val="24"/>
        </w:rPr>
        <w:t>系统与院内系统的接口影响，并提供涉及的相关接口改造服务。</w:t>
      </w:r>
    </w:p>
    <w:p>
      <w:pPr>
        <w:widowControl/>
        <w:spacing w:line="360" w:lineRule="auto"/>
        <w:ind w:firstLine="241" w:firstLineChars="100"/>
        <w:jc w:val="left"/>
        <w:rPr>
          <w:rFonts w:ascii="宋体" w:hAnsi="宋体" w:eastAsia="宋体" w:cs="宋体"/>
          <w:b/>
          <w:bCs/>
          <w:color w:val="000000"/>
          <w:kern w:val="0"/>
          <w:sz w:val="24"/>
          <w:szCs w:val="24"/>
          <w14:ligatures w14:val="none"/>
        </w:rPr>
      </w:pPr>
      <w:r>
        <w:rPr>
          <w:rFonts w:hint="eastAsia" w:ascii="宋体" w:hAnsi="宋体" w:eastAsia="宋体" w:cs="宋体"/>
          <w:b/>
          <w:bCs/>
          <w:color w:val="000000"/>
          <w:kern w:val="0"/>
          <w:sz w:val="24"/>
          <w:szCs w:val="24"/>
          <w14:ligatures w14:val="none"/>
        </w:rPr>
        <w:t>三、一体化接口开发及实施要求：</w:t>
      </w:r>
    </w:p>
    <w:p>
      <w:pPr>
        <w:pStyle w:val="6"/>
        <w:widowControl/>
        <w:numPr>
          <w:ilvl w:val="0"/>
          <w:numId w:val="2"/>
        </w:numPr>
        <w:spacing w:line="360" w:lineRule="auto"/>
        <w:ind w:firstLineChars="0"/>
        <w:jc w:val="left"/>
        <w:rPr>
          <w:rFonts w:ascii="宋体" w:hAnsi="宋体" w:eastAsia="宋体"/>
          <w:sz w:val="24"/>
          <w:szCs w:val="24"/>
        </w:rPr>
      </w:pPr>
      <w:r>
        <w:rPr>
          <w:rFonts w:ascii="宋体" w:hAnsi="宋体" w:eastAsia="宋体"/>
          <w:sz w:val="24"/>
          <w:szCs w:val="24"/>
        </w:rPr>
        <w:t>应在 2023 年 12 月底之前完成接口开发工作</w:t>
      </w:r>
      <w:r>
        <w:rPr>
          <w:rFonts w:hint="eastAsia" w:ascii="宋体" w:hAnsi="宋体" w:eastAsia="宋体"/>
          <w:sz w:val="24"/>
          <w:szCs w:val="24"/>
        </w:rPr>
        <w:t>，</w:t>
      </w:r>
      <w:r>
        <w:rPr>
          <w:rFonts w:ascii="宋体" w:hAnsi="宋体" w:eastAsia="宋体"/>
          <w:sz w:val="24"/>
          <w:szCs w:val="24"/>
        </w:rPr>
        <w:t>确保在 2024 年度开始时，实现核算数据在现有核算系统与“预算管理一体化单位 会计核算模块”间实时交互。</w:t>
      </w:r>
    </w:p>
    <w:p>
      <w:pPr>
        <w:pStyle w:val="6"/>
        <w:numPr>
          <w:ilvl w:val="0"/>
          <w:numId w:val="2"/>
        </w:numPr>
        <w:spacing w:line="360" w:lineRule="auto"/>
        <w:ind w:firstLineChars="0"/>
      </w:pPr>
      <w:r>
        <w:rPr>
          <w:rFonts w:hint="eastAsia" w:ascii="宋体" w:hAnsi="宋体" w:eastAsia="宋体"/>
          <w:sz w:val="24"/>
          <w:szCs w:val="24"/>
        </w:rPr>
        <w:t>需提供第一批试点单位</w:t>
      </w:r>
      <w:r>
        <w:rPr>
          <w:rFonts w:hint="eastAsia" w:ascii="宋体" w:hAnsi="宋体" w:eastAsia="宋体" w:cs="宋体"/>
          <w:color w:val="000000"/>
          <w:kern w:val="0"/>
          <w:sz w:val="24"/>
          <w:szCs w:val="24"/>
          <w14:ligatures w14:val="none"/>
        </w:rPr>
        <w:t>数据交互接口测试的相关截图。以保证我院此项目实施成果及进度。</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1B026E"/>
    <w:multiLevelType w:val="multilevel"/>
    <w:tmpl w:val="2E1B026E"/>
    <w:lvl w:ilvl="0" w:tentative="0">
      <w:start w:val="2"/>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3E841073"/>
    <w:multiLevelType w:val="multilevel"/>
    <w:tmpl w:val="3E841073"/>
    <w:lvl w:ilvl="0" w:tentative="0">
      <w:start w:val="1"/>
      <w:numFmt w:val="bullet"/>
      <w:lvlText w:val=""/>
      <w:lvlJc w:val="left"/>
      <w:pPr>
        <w:ind w:left="600" w:hanging="360"/>
      </w:pPr>
      <w:rPr>
        <w:rFonts w:hint="default" w:ascii="Wingdings" w:hAnsi="Wingdings"/>
      </w:rPr>
    </w:lvl>
    <w:lvl w:ilvl="1" w:tentative="0">
      <w:start w:val="1"/>
      <w:numFmt w:val="lowerLetter"/>
      <w:lvlText w:val="%2)"/>
      <w:lvlJc w:val="left"/>
      <w:pPr>
        <w:ind w:left="1120" w:hanging="440"/>
      </w:pPr>
    </w:lvl>
    <w:lvl w:ilvl="2" w:tentative="0">
      <w:start w:val="1"/>
      <w:numFmt w:val="lowerRoman"/>
      <w:lvlText w:val="%3."/>
      <w:lvlJc w:val="right"/>
      <w:pPr>
        <w:ind w:left="1560" w:hanging="440"/>
      </w:pPr>
    </w:lvl>
    <w:lvl w:ilvl="3" w:tentative="0">
      <w:start w:val="1"/>
      <w:numFmt w:val="decimal"/>
      <w:lvlText w:val="%4."/>
      <w:lvlJc w:val="left"/>
      <w:pPr>
        <w:ind w:left="2000" w:hanging="440"/>
      </w:pPr>
    </w:lvl>
    <w:lvl w:ilvl="4" w:tentative="0">
      <w:start w:val="1"/>
      <w:numFmt w:val="lowerLetter"/>
      <w:lvlText w:val="%5)"/>
      <w:lvlJc w:val="left"/>
      <w:pPr>
        <w:ind w:left="2440" w:hanging="440"/>
      </w:pPr>
    </w:lvl>
    <w:lvl w:ilvl="5" w:tentative="0">
      <w:start w:val="1"/>
      <w:numFmt w:val="lowerRoman"/>
      <w:lvlText w:val="%6."/>
      <w:lvlJc w:val="right"/>
      <w:pPr>
        <w:ind w:left="2880" w:hanging="440"/>
      </w:pPr>
    </w:lvl>
    <w:lvl w:ilvl="6" w:tentative="0">
      <w:start w:val="1"/>
      <w:numFmt w:val="decimal"/>
      <w:lvlText w:val="%7."/>
      <w:lvlJc w:val="left"/>
      <w:pPr>
        <w:ind w:left="3320" w:hanging="440"/>
      </w:pPr>
    </w:lvl>
    <w:lvl w:ilvl="7" w:tentative="0">
      <w:start w:val="1"/>
      <w:numFmt w:val="lowerLetter"/>
      <w:lvlText w:val="%8)"/>
      <w:lvlJc w:val="left"/>
      <w:pPr>
        <w:ind w:left="3760" w:hanging="440"/>
      </w:pPr>
    </w:lvl>
    <w:lvl w:ilvl="8" w:tentative="0">
      <w:start w:val="1"/>
      <w:numFmt w:val="lowerRoman"/>
      <w:lvlText w:val="%9."/>
      <w:lvlJc w:val="right"/>
      <w:pPr>
        <w:ind w:left="420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000647CC"/>
    <w:rsid w:val="000647CC"/>
    <w:rsid w:val="096D2213"/>
    <w:rsid w:val="43F90034"/>
    <w:rsid w:val="5912005F"/>
    <w:rsid w:val="5D245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2"/>
    <w:basedOn w:val="1"/>
    <w:next w:val="1"/>
    <w:link w:val="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5">
    <w:name w:val="标题 2 字符"/>
    <w:basedOn w:val="4"/>
    <w:link w:val="2"/>
    <w:qFormat/>
    <w:uiPriority w:val="9"/>
    <w:rPr>
      <w:rFonts w:asciiTheme="majorHAnsi" w:hAnsiTheme="majorHAnsi" w:eastAsiaTheme="majorEastAsia" w:cstheme="majorBidi"/>
      <w:b/>
      <w:bCs/>
      <w:sz w:val="32"/>
      <w:szCs w:val="32"/>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338</Words>
  <Characters>1927</Characters>
  <Lines>16</Lines>
  <Paragraphs>4</Paragraphs>
  <TotalTime>161</TotalTime>
  <ScaleCrop>false</ScaleCrop>
  <LinksUpToDate>false</LinksUpToDate>
  <CharactersWithSpaces>2261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2023-12-26T10:23:00Z</dcterms:created>
  <dc:creator>继文 纪</dc:creator>
  <cp:lastModifiedBy>大叉</cp:lastModifiedBy>
  <dcterms:modified xsi:type="dcterms:W3CDTF">2024-01-18T09:52:45Z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72BEA5C8534748B39F77EA7B5F8E17DA_12</vt:lpwstr>
  </property>
</Properties>
</file>