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039CC7">
      <w:pPr>
        <w:pStyle w:val="2"/>
        <w:bidi w:val="0"/>
        <w:jc w:val="center"/>
        <w:rPr>
          <w:rFonts w:hint="eastAsia" w:ascii="宋体" w:hAnsi="宋体" w:eastAsia="宋体" w:cs="宋体"/>
          <w:sz w:val="36"/>
          <w:szCs w:val="36"/>
          <w:lang w:val="en-US" w:eastAsia="zh-CN"/>
        </w:rPr>
      </w:pPr>
      <w:bookmarkStart w:id="0" w:name="_Toc28883"/>
      <w:bookmarkStart w:id="1" w:name="_Toc4218"/>
      <w:bookmarkStart w:id="2" w:name="_Toc28902"/>
      <w:bookmarkStart w:id="3" w:name="_Toc31854"/>
      <w:bookmarkStart w:id="4" w:name="_Toc14587"/>
      <w:bookmarkStart w:id="5" w:name="_Toc26250"/>
      <w:bookmarkStart w:id="6" w:name="_Toc6765"/>
      <w:bookmarkStart w:id="7" w:name="_Toc1261"/>
      <w:bookmarkStart w:id="8" w:name="_Toc22143"/>
      <w:bookmarkStart w:id="9" w:name="_Toc3425"/>
      <w:r>
        <w:rPr>
          <w:rFonts w:hint="eastAsia" w:ascii="宋体" w:hAnsi="宋体" w:eastAsia="宋体" w:cs="宋体"/>
          <w:sz w:val="36"/>
          <w:szCs w:val="36"/>
          <w:lang w:val="en-US" w:eastAsia="zh-CN"/>
        </w:rPr>
        <w:t>勐海县人民医院慢病管理中心</w:t>
      </w:r>
      <w:bookmarkEnd w:id="0"/>
      <w:bookmarkEnd w:id="1"/>
      <w:bookmarkEnd w:id="2"/>
      <w:bookmarkEnd w:id="3"/>
      <w:bookmarkEnd w:id="4"/>
      <w:bookmarkEnd w:id="5"/>
      <w:bookmarkEnd w:id="6"/>
      <w:bookmarkStart w:id="10" w:name="_Toc24166"/>
      <w:bookmarkStart w:id="11" w:name="_Toc24310"/>
      <w:bookmarkStart w:id="12" w:name="_Toc19582"/>
      <w:bookmarkStart w:id="13" w:name="_Toc25087"/>
      <w:bookmarkStart w:id="14" w:name="_Toc2153"/>
      <w:bookmarkStart w:id="15" w:name="_Toc2008"/>
      <w:bookmarkStart w:id="16" w:name="_Toc25769"/>
      <w:r>
        <w:rPr>
          <w:rFonts w:hint="eastAsia" w:ascii="宋体" w:hAnsi="宋体" w:eastAsia="宋体" w:cs="宋体"/>
          <w:sz w:val="36"/>
          <w:szCs w:val="36"/>
          <w:lang w:val="en-US" w:eastAsia="zh-CN"/>
        </w:rPr>
        <w:t>建设</w:t>
      </w:r>
      <w:bookmarkEnd w:id="7"/>
      <w:bookmarkEnd w:id="8"/>
      <w:bookmarkEnd w:id="9"/>
      <w:bookmarkEnd w:id="10"/>
      <w:bookmarkEnd w:id="11"/>
      <w:bookmarkEnd w:id="12"/>
      <w:bookmarkEnd w:id="13"/>
      <w:bookmarkEnd w:id="14"/>
      <w:bookmarkEnd w:id="15"/>
      <w:bookmarkEnd w:id="16"/>
      <w:r>
        <w:rPr>
          <w:rFonts w:hint="eastAsia" w:ascii="宋体" w:hAnsi="宋体" w:eastAsia="宋体" w:cs="宋体"/>
          <w:sz w:val="36"/>
          <w:szCs w:val="36"/>
          <w:lang w:val="en-US" w:eastAsia="zh-CN"/>
        </w:rPr>
        <w:t>方案</w:t>
      </w:r>
    </w:p>
    <w:p w14:paraId="5D43DA60">
      <w:pPr>
        <w:pStyle w:val="2"/>
        <w:bidi w:val="0"/>
        <w:rPr>
          <w:rFonts w:hint="eastAsia" w:ascii="宋体" w:hAnsi="宋体" w:eastAsia="宋体" w:cs="宋体"/>
          <w:lang w:val="en-US" w:eastAsia="zh-CN"/>
        </w:rPr>
      </w:pPr>
      <w:bookmarkStart w:id="17" w:name="_Toc25912"/>
      <w:bookmarkStart w:id="18" w:name="_Toc1065"/>
      <w:r>
        <w:rPr>
          <w:rFonts w:hint="eastAsia" w:ascii="宋体" w:hAnsi="宋体" w:eastAsia="宋体" w:cs="宋体"/>
          <w:lang w:val="en-US" w:eastAsia="zh-CN"/>
        </w:rPr>
        <w:t>一、项目背景</w:t>
      </w:r>
      <w:bookmarkEnd w:id="17"/>
      <w:bookmarkEnd w:id="18"/>
    </w:p>
    <w:p w14:paraId="19F3F7E9">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为深入贯彻落实《“健康中国2030”规划纲要》，《“十四五”国民健康规划》</w:t>
      </w:r>
      <w:r>
        <w:rPr>
          <w:rFonts w:hint="eastAsia" w:ascii="宋体" w:hAnsi="宋体" w:eastAsia="宋体" w:cs="宋体"/>
          <w:sz w:val="28"/>
          <w:szCs w:val="28"/>
          <w:lang w:eastAsia="zh-CN"/>
        </w:rPr>
        <w:t>，《关于全面推进紧密型县域医疗卫生共同体建设的指导意见》，</w:t>
      </w:r>
      <w:r>
        <w:rPr>
          <w:rFonts w:hint="eastAsia" w:ascii="宋体" w:hAnsi="宋体" w:eastAsia="宋体" w:cs="宋体"/>
          <w:sz w:val="28"/>
          <w:szCs w:val="28"/>
          <w:lang w:val="en-US" w:eastAsia="zh-CN"/>
        </w:rPr>
        <w:t>依据《“千县工程”县医院综合能力提升工作方案》、</w:t>
      </w:r>
      <w:r>
        <w:rPr>
          <w:rFonts w:hint="eastAsia" w:ascii="宋体" w:hAnsi="宋体" w:eastAsia="宋体" w:cs="宋体"/>
          <w:sz w:val="28"/>
          <w:szCs w:val="28"/>
          <w:lang w:eastAsia="zh-CN"/>
        </w:rPr>
        <w:t>《</w:t>
      </w:r>
      <w:r>
        <w:rPr>
          <w:rFonts w:hint="eastAsia" w:ascii="宋体" w:hAnsi="宋体" w:eastAsia="宋体" w:cs="宋体"/>
          <w:sz w:val="28"/>
          <w:szCs w:val="28"/>
          <w:lang w:val="en-US" w:eastAsia="zh-Hans"/>
        </w:rPr>
        <w:t>云南省百县工程提升方案</w:t>
      </w:r>
      <w:r>
        <w:rPr>
          <w:rFonts w:hint="eastAsia" w:ascii="宋体" w:hAnsi="宋体" w:eastAsia="宋体" w:cs="宋体"/>
          <w:sz w:val="28"/>
          <w:szCs w:val="28"/>
          <w:lang w:eastAsia="zh-Hans"/>
        </w:rPr>
        <w:t>》</w:t>
      </w:r>
      <w:r>
        <w:rPr>
          <w:rFonts w:hint="eastAsia" w:ascii="宋体" w:hAnsi="宋体" w:eastAsia="宋体" w:cs="宋体"/>
          <w:sz w:val="28"/>
          <w:szCs w:val="28"/>
          <w:lang w:val="en-US" w:eastAsia="zh-CN"/>
        </w:rPr>
        <w:t>、《云南省临床服务“五大中心”评审实施细则》等相关文件要求，</w:t>
      </w:r>
      <w:r>
        <w:rPr>
          <w:rFonts w:hint="eastAsia" w:ascii="宋体" w:hAnsi="宋体" w:eastAsia="宋体" w:cs="宋体"/>
          <w:sz w:val="28"/>
          <w:szCs w:val="28"/>
          <w:lang w:val="en-US" w:eastAsia="zh-Hans"/>
        </w:rPr>
        <w:t>全面</w:t>
      </w:r>
      <w:r>
        <w:rPr>
          <w:rFonts w:hint="eastAsia" w:ascii="宋体" w:hAnsi="宋体" w:eastAsia="宋体" w:cs="宋体"/>
          <w:sz w:val="28"/>
          <w:szCs w:val="28"/>
          <w:lang w:val="en-US" w:eastAsia="zh-CN"/>
        </w:rPr>
        <w:t>提升区域慢病管理能力</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构建县域优质高效的医疗卫生健康服务体系</w:t>
      </w:r>
      <w:r>
        <w:rPr>
          <w:rFonts w:hint="eastAsia" w:ascii="宋体" w:hAnsi="宋体" w:eastAsia="宋体" w:cs="宋体"/>
          <w:sz w:val="28"/>
          <w:szCs w:val="28"/>
          <w:lang w:eastAsia="zh-CN"/>
        </w:rPr>
        <w:t>。</w:t>
      </w:r>
    </w:p>
    <w:p w14:paraId="56622B87">
      <w:pPr>
        <w:pStyle w:val="2"/>
        <w:bidi w:val="0"/>
        <w:rPr>
          <w:rFonts w:hint="eastAsia" w:ascii="宋体" w:hAnsi="宋体" w:eastAsia="宋体" w:cs="宋体"/>
          <w:lang w:val="en-US" w:eastAsia="zh-CN"/>
        </w:rPr>
      </w:pPr>
      <w:bookmarkStart w:id="19" w:name="_Toc12647"/>
      <w:bookmarkStart w:id="20" w:name="_Toc11946"/>
      <w:r>
        <w:rPr>
          <w:rFonts w:hint="eastAsia" w:ascii="宋体" w:hAnsi="宋体" w:eastAsia="宋体" w:cs="宋体"/>
          <w:lang w:val="en-US" w:eastAsia="zh-CN"/>
        </w:rPr>
        <w:t>二、需求分析</w:t>
      </w:r>
      <w:bookmarkEnd w:id="19"/>
      <w:bookmarkEnd w:id="20"/>
    </w:p>
    <w:p w14:paraId="531D5624">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val="en-US" w:eastAsia="zh-CN"/>
        </w:rPr>
        <w:t>当前，县域基本已建立了紧密型医疗共同体，在信息化建设方面</w:t>
      </w:r>
      <w:r>
        <w:rPr>
          <w:rFonts w:hint="eastAsia" w:ascii="宋体" w:hAnsi="宋体" w:eastAsia="宋体" w:cs="宋体"/>
          <w:sz w:val="28"/>
          <w:szCs w:val="28"/>
          <w:lang w:val="en-US" w:eastAsia="zh-Hans"/>
        </w:rPr>
        <w:t>无法支撑</w:t>
      </w:r>
      <w:r>
        <w:rPr>
          <w:rFonts w:hint="eastAsia" w:ascii="宋体" w:hAnsi="宋体" w:eastAsia="宋体" w:cs="宋体"/>
          <w:sz w:val="28"/>
          <w:szCs w:val="28"/>
          <w:lang w:val="en-US" w:eastAsia="zh-CN"/>
        </w:rPr>
        <w:t>区域一体化、同质化、全病程</w:t>
      </w:r>
      <w:r>
        <w:rPr>
          <w:rFonts w:hint="eastAsia" w:ascii="宋体" w:hAnsi="宋体" w:eastAsia="宋体" w:cs="宋体"/>
          <w:sz w:val="28"/>
          <w:szCs w:val="28"/>
          <w:lang w:eastAsia="zh-CN"/>
        </w:rPr>
        <w:t>、</w:t>
      </w:r>
      <w:r>
        <w:rPr>
          <w:rFonts w:hint="eastAsia" w:ascii="宋体" w:hAnsi="宋体" w:eastAsia="宋体" w:cs="宋体"/>
          <w:sz w:val="28"/>
          <w:szCs w:val="28"/>
          <w:lang w:val="en-US" w:eastAsia="zh-Hans"/>
        </w:rPr>
        <w:t>连续性</w:t>
      </w:r>
      <w:r>
        <w:rPr>
          <w:rFonts w:hint="eastAsia" w:ascii="宋体" w:hAnsi="宋体" w:eastAsia="宋体" w:cs="宋体"/>
          <w:sz w:val="28"/>
          <w:szCs w:val="28"/>
          <w:lang w:val="en-US" w:eastAsia="zh-CN"/>
        </w:rPr>
        <w:t>的健康</w:t>
      </w:r>
      <w:r>
        <w:rPr>
          <w:rFonts w:hint="eastAsia" w:ascii="宋体" w:hAnsi="宋体" w:eastAsia="宋体" w:cs="宋体"/>
          <w:sz w:val="28"/>
          <w:szCs w:val="28"/>
          <w:lang w:val="en-US" w:eastAsia="zh-Hans"/>
        </w:rPr>
        <w:t>管理</w:t>
      </w:r>
      <w:r>
        <w:rPr>
          <w:rFonts w:hint="eastAsia" w:ascii="宋体" w:hAnsi="宋体" w:eastAsia="宋体" w:cs="宋体"/>
          <w:sz w:val="28"/>
          <w:szCs w:val="28"/>
          <w:lang w:val="en-US" w:eastAsia="zh-CN"/>
        </w:rPr>
        <w:t>服务</w:t>
      </w:r>
      <w:r>
        <w:rPr>
          <w:rFonts w:hint="eastAsia" w:ascii="宋体" w:hAnsi="宋体" w:eastAsia="宋体" w:cs="宋体"/>
          <w:sz w:val="28"/>
          <w:szCs w:val="28"/>
          <w:lang w:val="en-US" w:eastAsia="zh-Hans"/>
        </w:rPr>
        <w:t>应用的需求</w:t>
      </w:r>
      <w:r>
        <w:rPr>
          <w:rFonts w:hint="eastAsia" w:ascii="宋体" w:hAnsi="宋体" w:eastAsia="宋体" w:cs="宋体"/>
          <w:sz w:val="28"/>
          <w:szCs w:val="28"/>
          <w:lang w:val="en-US" w:eastAsia="zh-CN"/>
        </w:rPr>
        <w:t>，</w:t>
      </w:r>
      <w:r>
        <w:rPr>
          <w:rFonts w:hint="eastAsia" w:ascii="宋体" w:hAnsi="宋体" w:eastAsia="宋体" w:cs="宋体"/>
          <w:sz w:val="28"/>
          <w:szCs w:val="28"/>
          <w:lang w:val="en-US" w:eastAsia="zh-Hans"/>
        </w:rPr>
        <w:t>目前达不到</w:t>
      </w:r>
      <w:r>
        <w:rPr>
          <w:rFonts w:hint="eastAsia" w:ascii="宋体" w:hAnsi="宋体" w:eastAsia="宋体" w:cs="宋体"/>
          <w:sz w:val="28"/>
          <w:szCs w:val="28"/>
          <w:lang w:val="en-US" w:eastAsia="zh-CN"/>
        </w:rPr>
        <w:t>千县工程县域慢病管理</w:t>
      </w:r>
      <w:r>
        <w:rPr>
          <w:rFonts w:hint="eastAsia" w:ascii="宋体" w:hAnsi="宋体" w:eastAsia="宋体" w:cs="宋体"/>
          <w:sz w:val="28"/>
          <w:szCs w:val="28"/>
          <w:lang w:val="en-US" w:eastAsia="zh-Hans"/>
        </w:rPr>
        <w:t>中心标准化管理路径的</w:t>
      </w:r>
      <w:r>
        <w:rPr>
          <w:rFonts w:hint="eastAsia" w:ascii="宋体" w:hAnsi="宋体" w:eastAsia="宋体" w:cs="宋体"/>
          <w:sz w:val="28"/>
          <w:szCs w:val="28"/>
          <w:lang w:val="en-US" w:eastAsia="zh-CN"/>
        </w:rPr>
        <w:t>要求</w:t>
      </w:r>
      <w:r>
        <w:rPr>
          <w:rFonts w:hint="eastAsia" w:ascii="宋体" w:hAnsi="宋体" w:eastAsia="宋体" w:cs="宋体"/>
          <w:sz w:val="28"/>
          <w:szCs w:val="28"/>
          <w:lang w:eastAsia="zh-CN"/>
        </w:rPr>
        <w:t>。</w:t>
      </w:r>
    </w:p>
    <w:p w14:paraId="1A8258F1">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1、</w:t>
      </w:r>
      <w:r>
        <w:rPr>
          <w:rFonts w:hint="eastAsia" w:ascii="宋体" w:hAnsi="宋体" w:eastAsia="宋体" w:cs="宋体"/>
          <w:sz w:val="28"/>
          <w:szCs w:val="28"/>
          <w:lang w:val="en-US" w:eastAsia="zh-CN"/>
        </w:rPr>
        <w:t>根据县域慢病管理中心建设要求</w:t>
      </w:r>
      <w:r>
        <w:rPr>
          <w:rFonts w:hint="eastAsia" w:ascii="宋体" w:hAnsi="宋体" w:eastAsia="宋体" w:cs="宋体"/>
          <w:sz w:val="28"/>
          <w:szCs w:val="28"/>
          <w:lang w:val="en-US" w:eastAsia="zh-Hans"/>
        </w:rPr>
        <w:t>开展慢病的防</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筛</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诊</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治</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管</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康的业务</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并急需建立一套</w:t>
      </w:r>
      <w:r>
        <w:rPr>
          <w:rFonts w:hint="eastAsia" w:ascii="宋体" w:hAnsi="宋体" w:eastAsia="宋体" w:cs="宋体"/>
          <w:sz w:val="28"/>
          <w:szCs w:val="28"/>
          <w:lang w:val="en-US" w:eastAsia="zh-CN"/>
        </w:rPr>
        <w:t>县</w:t>
      </w:r>
      <w:r>
        <w:rPr>
          <w:rFonts w:hint="eastAsia" w:ascii="宋体" w:hAnsi="宋体" w:eastAsia="宋体" w:cs="宋体"/>
          <w:sz w:val="28"/>
          <w:szCs w:val="28"/>
          <w:lang w:eastAsia="zh-Hans"/>
        </w:rPr>
        <w:t>、</w:t>
      </w:r>
      <w:r>
        <w:rPr>
          <w:rFonts w:hint="eastAsia" w:ascii="宋体" w:hAnsi="宋体" w:eastAsia="宋体" w:cs="宋体"/>
          <w:sz w:val="28"/>
          <w:szCs w:val="28"/>
          <w:lang w:val="en-US" w:eastAsia="zh-CN"/>
        </w:rPr>
        <w:t>乡、村、家”</w:t>
      </w:r>
      <w:r>
        <w:rPr>
          <w:rFonts w:hint="eastAsia" w:ascii="宋体" w:hAnsi="宋体" w:eastAsia="宋体" w:cs="宋体"/>
          <w:sz w:val="28"/>
          <w:szCs w:val="28"/>
          <w:lang w:val="en-US" w:eastAsia="zh-Hans"/>
        </w:rPr>
        <w:t>一体化的分级</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分类</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分标的全病程闭环管理的信息化系统</w:t>
      </w:r>
      <w:r>
        <w:rPr>
          <w:rFonts w:hint="eastAsia" w:ascii="宋体" w:hAnsi="宋体" w:eastAsia="宋体" w:cs="宋体"/>
          <w:sz w:val="28"/>
          <w:szCs w:val="28"/>
          <w:lang w:eastAsia="zh-Hans"/>
        </w:rPr>
        <w:t>。</w:t>
      </w:r>
    </w:p>
    <w:p w14:paraId="778C775B">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sz w:val="28"/>
          <w:szCs w:val="28"/>
          <w:lang w:eastAsia="zh-Hans"/>
        </w:rPr>
      </w:pPr>
      <w:r>
        <w:rPr>
          <w:rFonts w:hint="eastAsia" w:ascii="宋体" w:hAnsi="宋体" w:eastAsia="宋体" w:cs="宋体"/>
          <w:sz w:val="28"/>
          <w:szCs w:val="28"/>
          <w:lang w:eastAsia="zh-Hans"/>
        </w:rPr>
        <w:t>2、</w:t>
      </w:r>
      <w:r>
        <w:rPr>
          <w:rFonts w:hint="eastAsia" w:ascii="宋体" w:hAnsi="宋体" w:eastAsia="宋体" w:cs="宋体"/>
          <w:sz w:val="28"/>
          <w:szCs w:val="28"/>
          <w:lang w:val="en-US" w:eastAsia="zh-Hans"/>
        </w:rPr>
        <w:t>目前未建立每位</w:t>
      </w:r>
      <w:r>
        <w:rPr>
          <w:rFonts w:hint="eastAsia" w:ascii="宋体" w:hAnsi="宋体" w:eastAsia="宋体" w:cs="宋体"/>
          <w:sz w:val="28"/>
          <w:szCs w:val="28"/>
          <w:lang w:val="en-US" w:eastAsia="zh-CN"/>
        </w:rPr>
        <w:t>居民</w:t>
      </w:r>
      <w:r>
        <w:rPr>
          <w:rFonts w:hint="eastAsia" w:ascii="宋体" w:hAnsi="宋体" w:eastAsia="宋体" w:cs="宋体"/>
          <w:sz w:val="28"/>
          <w:szCs w:val="28"/>
          <w:lang w:val="en-US" w:eastAsia="zh-Hans"/>
        </w:rPr>
        <w:t>完整的</w:t>
      </w:r>
      <w:r>
        <w:rPr>
          <w:rFonts w:hint="eastAsia" w:ascii="宋体" w:hAnsi="宋体" w:eastAsia="宋体" w:cs="宋体"/>
          <w:sz w:val="28"/>
          <w:szCs w:val="28"/>
          <w:lang w:val="en-US" w:eastAsia="zh-CN"/>
        </w:rPr>
        <w:t>全生命周期健康信息，</w:t>
      </w:r>
      <w:r>
        <w:rPr>
          <w:rFonts w:hint="eastAsia" w:ascii="宋体" w:hAnsi="宋体" w:eastAsia="宋体" w:cs="宋体"/>
          <w:sz w:val="28"/>
          <w:szCs w:val="28"/>
          <w:lang w:val="en-US" w:eastAsia="zh-Hans"/>
        </w:rPr>
        <w:t>未实现</w:t>
      </w:r>
      <w:r>
        <w:rPr>
          <w:rFonts w:hint="eastAsia" w:ascii="宋体" w:hAnsi="宋体" w:eastAsia="宋体" w:cs="宋体"/>
          <w:sz w:val="28"/>
          <w:szCs w:val="28"/>
          <w:lang w:val="en-US" w:eastAsia="zh-CN"/>
        </w:rPr>
        <w:t>医疗数据与公卫数据的互通共享</w:t>
      </w:r>
      <w:r>
        <w:rPr>
          <w:rFonts w:hint="eastAsia" w:ascii="宋体" w:hAnsi="宋体" w:eastAsia="宋体" w:cs="宋体"/>
          <w:sz w:val="28"/>
          <w:szCs w:val="28"/>
          <w:lang w:eastAsia="zh-CN"/>
        </w:rPr>
        <w:t>，</w:t>
      </w:r>
      <w:r>
        <w:rPr>
          <w:rFonts w:hint="eastAsia" w:ascii="宋体" w:hAnsi="宋体" w:eastAsia="宋体" w:cs="宋体"/>
          <w:sz w:val="28"/>
          <w:szCs w:val="28"/>
          <w:lang w:val="en-US" w:eastAsia="zh-Hans"/>
        </w:rPr>
        <w:t>急需通过信息系统</w:t>
      </w:r>
      <w:r>
        <w:rPr>
          <w:rFonts w:hint="eastAsia" w:ascii="宋体" w:hAnsi="宋体" w:eastAsia="宋体" w:cs="宋体"/>
          <w:sz w:val="28"/>
          <w:szCs w:val="28"/>
          <w:lang w:val="en-US" w:eastAsia="zh-CN"/>
        </w:rPr>
        <w:t>实现</w:t>
      </w:r>
      <w:r>
        <w:rPr>
          <w:rFonts w:hint="eastAsia" w:ascii="宋体" w:hAnsi="宋体" w:eastAsia="宋体" w:cs="宋体"/>
          <w:sz w:val="28"/>
          <w:szCs w:val="28"/>
          <w:lang w:val="en-US" w:eastAsia="zh-Hans"/>
        </w:rPr>
        <w:t>互通共享</w:t>
      </w:r>
      <w:r>
        <w:rPr>
          <w:rFonts w:hint="eastAsia" w:ascii="宋体" w:hAnsi="宋体" w:eastAsia="宋体" w:cs="宋体"/>
          <w:sz w:val="28"/>
          <w:szCs w:val="28"/>
          <w:lang w:eastAsia="zh-Hans"/>
        </w:rPr>
        <w:t>。</w:t>
      </w:r>
    </w:p>
    <w:p w14:paraId="562253C2">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sz w:val="28"/>
          <w:szCs w:val="28"/>
          <w:lang w:eastAsia="zh-Hans"/>
        </w:rPr>
      </w:pPr>
      <w:r>
        <w:rPr>
          <w:rFonts w:hint="eastAsia" w:ascii="宋体" w:hAnsi="宋体" w:eastAsia="宋体" w:cs="宋体"/>
          <w:sz w:val="28"/>
          <w:szCs w:val="28"/>
          <w:lang w:eastAsia="zh-Hans"/>
        </w:rPr>
        <w:t>3、</w:t>
      </w:r>
      <w:r>
        <w:rPr>
          <w:rFonts w:hint="eastAsia" w:ascii="宋体" w:hAnsi="宋体" w:eastAsia="宋体" w:cs="宋体"/>
          <w:sz w:val="28"/>
          <w:szCs w:val="28"/>
          <w:lang w:val="en-US" w:eastAsia="zh-Hans"/>
        </w:rPr>
        <w:t>慢性病管理缺乏管理质量监测，评价考核，量化体系，对管理不理想的患者主动宣传，主动干预，医防隔合不够，导致管理形式化。并发症发生率，致死率，致残率，居高不下，严重透支医保资金和社会资源，广大居民健康素养和依从性差，在疾病防治关口前移"一公里”的宣传和筛查方面认识不够，方法简单，成效不明显。与健康中国提出的</w:t>
      </w:r>
      <w:r>
        <w:rPr>
          <w:rFonts w:hint="eastAsia" w:ascii="宋体" w:hAnsi="宋体" w:eastAsia="宋体" w:cs="宋体"/>
          <w:sz w:val="28"/>
          <w:szCs w:val="28"/>
          <w:lang w:val="en-US" w:eastAsia="zh-CN"/>
        </w:rPr>
        <w:t>“</w:t>
      </w:r>
      <w:r>
        <w:rPr>
          <w:rFonts w:hint="eastAsia" w:ascii="宋体" w:hAnsi="宋体" w:eastAsia="宋体" w:cs="宋体"/>
          <w:sz w:val="28"/>
          <w:szCs w:val="28"/>
          <w:lang w:val="en-US" w:eastAsia="zh-Hans"/>
        </w:rPr>
        <w:t>以治病为中心向以人民健康为中心</w:t>
      </w:r>
      <w:r>
        <w:rPr>
          <w:rFonts w:hint="eastAsia" w:ascii="宋体" w:hAnsi="宋体" w:eastAsia="宋体" w:cs="宋体"/>
          <w:sz w:val="28"/>
          <w:szCs w:val="28"/>
          <w:lang w:val="en-US" w:eastAsia="zh-CN"/>
        </w:rPr>
        <w:t>”</w:t>
      </w:r>
      <w:r>
        <w:rPr>
          <w:rFonts w:hint="eastAsia" w:ascii="宋体" w:hAnsi="宋体" w:eastAsia="宋体" w:cs="宋体"/>
          <w:sz w:val="28"/>
          <w:szCs w:val="28"/>
          <w:lang w:val="en-US" w:eastAsia="zh-Hans"/>
        </w:rPr>
        <w:t>的目标差距较大</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需要通过信息化工具对</w:t>
      </w:r>
      <w:r>
        <w:rPr>
          <w:rFonts w:hint="eastAsia" w:ascii="宋体" w:hAnsi="宋体" w:eastAsia="宋体" w:cs="宋体"/>
          <w:sz w:val="28"/>
          <w:szCs w:val="28"/>
          <w:lang w:val="en-US" w:eastAsia="zh-CN"/>
        </w:rPr>
        <w:t>区域慢病管理开展数据质控，对辖区业务进行综合监管与绩效考核</w:t>
      </w:r>
      <w:r>
        <w:rPr>
          <w:rFonts w:hint="eastAsia" w:ascii="宋体" w:hAnsi="宋体" w:eastAsia="宋体" w:cs="宋体"/>
          <w:sz w:val="28"/>
          <w:szCs w:val="28"/>
          <w:lang w:eastAsia="zh-CN"/>
        </w:rPr>
        <w:t>。</w:t>
      </w:r>
    </w:p>
    <w:p w14:paraId="691F1F82">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eastAsia="zh-CN"/>
        </w:rPr>
        <w:t>4、</w:t>
      </w:r>
      <w:r>
        <w:rPr>
          <w:rFonts w:hint="eastAsia" w:ascii="宋体" w:hAnsi="宋体" w:eastAsia="宋体" w:cs="宋体"/>
          <w:sz w:val="28"/>
          <w:szCs w:val="28"/>
          <w:lang w:val="en-US" w:eastAsia="zh-Hans"/>
        </w:rPr>
        <w:t>慢病管理和公共卫生服务效率低</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需通过智能化的信息系统提高工作效率和质量</w:t>
      </w:r>
      <w:r>
        <w:rPr>
          <w:rFonts w:hint="eastAsia" w:ascii="宋体" w:hAnsi="宋体" w:eastAsia="宋体" w:cs="宋体"/>
          <w:sz w:val="28"/>
          <w:szCs w:val="28"/>
          <w:lang w:eastAsia="zh-Hans"/>
        </w:rPr>
        <w:t>，</w:t>
      </w:r>
      <w:r>
        <w:rPr>
          <w:rFonts w:hint="eastAsia" w:ascii="宋体" w:hAnsi="宋体" w:eastAsia="宋体" w:cs="宋体"/>
          <w:sz w:val="28"/>
          <w:szCs w:val="28"/>
          <w:lang w:val="en-US" w:eastAsia="zh-CN"/>
        </w:rPr>
        <w:t>促进患者与医疗机构之间粘性增强，增加管理签约率和本地就诊率，提高公共卫生服务的整体效能和医保基金的使用效率。</w:t>
      </w:r>
    </w:p>
    <w:p w14:paraId="20B78C87">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sz w:val="28"/>
          <w:szCs w:val="28"/>
          <w:lang w:eastAsia="zh-Hans"/>
        </w:rPr>
      </w:pPr>
      <w:r>
        <w:rPr>
          <w:rFonts w:hint="eastAsia" w:ascii="宋体" w:hAnsi="宋体" w:eastAsia="宋体" w:cs="宋体"/>
          <w:sz w:val="28"/>
          <w:szCs w:val="28"/>
          <w:lang w:val="en-US" w:eastAsia="zh-CN"/>
        </w:rPr>
        <w:t>5、县域</w:t>
      </w:r>
      <w:r>
        <w:rPr>
          <w:rFonts w:hint="eastAsia" w:ascii="宋体" w:hAnsi="宋体" w:eastAsia="宋体" w:cs="宋体"/>
          <w:sz w:val="28"/>
          <w:szCs w:val="28"/>
          <w:lang w:val="en-US" w:eastAsia="zh-Hans"/>
        </w:rPr>
        <w:t>有大量的</w:t>
      </w:r>
      <w:r>
        <w:rPr>
          <w:rFonts w:hint="eastAsia" w:ascii="宋体" w:hAnsi="宋体" w:eastAsia="宋体" w:cs="宋体"/>
          <w:sz w:val="28"/>
          <w:szCs w:val="28"/>
          <w:lang w:val="en-US" w:eastAsia="zh-CN"/>
        </w:rPr>
        <w:t>亚健康人群，</w:t>
      </w:r>
      <w:r>
        <w:rPr>
          <w:rFonts w:hint="eastAsia" w:ascii="宋体" w:hAnsi="宋体" w:eastAsia="宋体" w:cs="宋体"/>
          <w:sz w:val="28"/>
          <w:szCs w:val="28"/>
          <w:lang w:val="en-US" w:eastAsia="zh-Hans"/>
        </w:rPr>
        <w:t>有</w:t>
      </w:r>
      <w:r>
        <w:rPr>
          <w:rFonts w:hint="eastAsia" w:ascii="宋体" w:hAnsi="宋体" w:eastAsia="宋体" w:cs="宋体"/>
          <w:sz w:val="28"/>
          <w:szCs w:val="28"/>
          <w:lang w:val="en-US" w:eastAsia="zh-CN"/>
        </w:rPr>
        <w:t>开展精细化管理服务</w:t>
      </w:r>
      <w:r>
        <w:rPr>
          <w:rFonts w:hint="eastAsia" w:ascii="宋体" w:hAnsi="宋体" w:eastAsia="宋体" w:cs="宋体"/>
          <w:sz w:val="28"/>
          <w:szCs w:val="28"/>
          <w:lang w:val="en-US" w:eastAsia="zh-Hans"/>
        </w:rPr>
        <w:t>的需求</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可以通过信息化工具高效的开展创新的业务</w:t>
      </w:r>
      <w:r>
        <w:rPr>
          <w:rFonts w:hint="eastAsia" w:ascii="宋体" w:hAnsi="宋体" w:eastAsia="宋体" w:cs="宋体"/>
          <w:sz w:val="28"/>
          <w:szCs w:val="28"/>
          <w:lang w:eastAsia="zh-Hans"/>
        </w:rPr>
        <w:t>。</w:t>
      </w:r>
    </w:p>
    <w:p w14:paraId="3F8206EE">
      <w:pPr>
        <w:pStyle w:val="2"/>
        <w:bidi w:val="0"/>
        <w:rPr>
          <w:rFonts w:hint="eastAsia" w:ascii="宋体" w:hAnsi="宋体" w:eastAsia="宋体" w:cs="宋体"/>
          <w:lang w:val="en-US" w:eastAsia="zh-CN"/>
        </w:rPr>
      </w:pPr>
      <w:bookmarkStart w:id="21" w:name="_Toc24061"/>
      <w:bookmarkStart w:id="22" w:name="_Toc8263"/>
      <w:r>
        <w:rPr>
          <w:rFonts w:hint="eastAsia" w:ascii="宋体" w:hAnsi="宋体" w:eastAsia="宋体" w:cs="宋体"/>
          <w:lang w:val="en-US" w:eastAsia="zh-CN"/>
        </w:rPr>
        <w:t>三、项目目标</w:t>
      </w:r>
      <w:bookmarkEnd w:id="21"/>
      <w:bookmarkEnd w:id="22"/>
    </w:p>
    <w:p w14:paraId="4A7E22DB">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在县域打造一个以人民健康为核心，以技术和服务创新为驱动的区域健康管护服务体系，为居民提供全方位、全周期的健康服务，以勐海县人民医院为中心，下属卫生院4家（勐满镇、勐遮镇、勐混镇、勐阿镇）为试点，建设县乡村一体化管理体系，实现医疗资源下沉，提升基层医疗服务能力，通过信息化手段优化慢病管理流程，通过后续的信息化建设后逐步推进覆盖至全县。</w:t>
      </w:r>
    </w:p>
    <w:p w14:paraId="40DF88F2">
      <w:pPr>
        <w:keepNext w:val="0"/>
        <w:keepLines w:val="0"/>
        <w:pageBreakBefore w:val="0"/>
        <w:widowControl w:val="0"/>
        <w:kinsoku/>
        <w:wordWrap/>
        <w:overflowPunct/>
        <w:topLinePunct w:val="0"/>
        <w:autoSpaceDE/>
        <w:autoSpaceDN/>
        <w:bidi w:val="0"/>
        <w:adjustRightInd/>
        <w:snapToGrid/>
        <w:spacing w:line="288" w:lineRule="auto"/>
        <w:ind w:firstLine="562" w:firstLineChars="200"/>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具体目标如下</w:t>
      </w:r>
      <w:r>
        <w:rPr>
          <w:rFonts w:hint="eastAsia" w:ascii="宋体" w:hAnsi="宋体" w:eastAsia="宋体" w:cs="宋体"/>
          <w:sz w:val="28"/>
          <w:szCs w:val="28"/>
          <w:lang w:val="en-US" w:eastAsia="zh-CN"/>
        </w:rPr>
        <w:t>：</w:t>
      </w:r>
    </w:p>
    <w:p w14:paraId="666CBB08">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color w:val="FF0000"/>
          <w:sz w:val="28"/>
          <w:szCs w:val="28"/>
          <w:lang w:val="en-US" w:eastAsia="zh-CN"/>
        </w:rPr>
        <w:t>1、</w:t>
      </w:r>
      <w:r>
        <w:rPr>
          <w:rFonts w:hint="eastAsia" w:ascii="宋体" w:hAnsi="宋体" w:eastAsia="宋体" w:cs="宋体"/>
          <w:color w:val="FF0000"/>
          <w:sz w:val="28"/>
          <w:szCs w:val="28"/>
          <w:lang w:val="en-US" w:eastAsia="zh-Hans"/>
        </w:rPr>
        <w:t>对标</w:t>
      </w:r>
      <w:r>
        <w:rPr>
          <w:rFonts w:hint="eastAsia" w:ascii="宋体" w:hAnsi="宋体" w:eastAsia="宋体" w:cs="宋体"/>
          <w:color w:val="FF0000"/>
          <w:sz w:val="28"/>
          <w:szCs w:val="28"/>
          <w:lang w:val="en-US" w:eastAsia="zh-CN"/>
        </w:rPr>
        <w:t>评审要求</w:t>
      </w:r>
      <w:r>
        <w:rPr>
          <w:rFonts w:hint="eastAsia" w:ascii="宋体" w:hAnsi="宋体" w:eastAsia="宋体" w:cs="宋体"/>
          <w:color w:val="FF0000"/>
          <w:sz w:val="28"/>
          <w:szCs w:val="28"/>
          <w:lang w:val="en-US" w:eastAsia="zh-Hans"/>
        </w:rPr>
        <w:t>进行项目建设</w:t>
      </w:r>
      <w:r>
        <w:rPr>
          <w:rFonts w:hint="eastAsia" w:ascii="宋体" w:hAnsi="宋体" w:eastAsia="宋体" w:cs="宋体"/>
          <w:color w:val="FF0000"/>
          <w:sz w:val="28"/>
          <w:szCs w:val="28"/>
          <w:lang w:val="en-US" w:eastAsia="zh-CN"/>
        </w:rPr>
        <w:t>，达标千县工程慢病管理中心的评审标准。</w:t>
      </w:r>
    </w:p>
    <w:p w14:paraId="679BDA32">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2、实现区域医疗数据的无缝共享，提升治疗效率和质量。</w:t>
      </w:r>
    </w:p>
    <w:p w14:paraId="252FF3F7">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3、推动全人群健康管理的信息化，提升全民健康管理水平。</w:t>
      </w:r>
    </w:p>
    <w:p w14:paraId="636F7884">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4、建立区域内慢性病的监管及质量控制体系。</w:t>
      </w:r>
    </w:p>
    <w:p w14:paraId="0AA7D638">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5、实现区域医疗服务一体化，形成县、乡、村、家四位一体的健康管理体系。</w:t>
      </w:r>
    </w:p>
    <w:p w14:paraId="76095E9E">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6、优化资源配置，提升基层医疗服务质量。</w:t>
      </w:r>
    </w:p>
    <w:p w14:paraId="6905EB75">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lang w:val="en-US" w:eastAsia="zh-CN"/>
        </w:rPr>
      </w:pPr>
      <w:r>
        <w:rPr>
          <w:rFonts w:hint="eastAsia" w:ascii="宋体" w:hAnsi="宋体" w:eastAsia="宋体" w:cs="宋体"/>
          <w:sz w:val="28"/>
          <w:szCs w:val="28"/>
          <w:lang w:val="en-US" w:eastAsia="zh-CN"/>
        </w:rPr>
        <w:t>7、增强医患服务粘性，提高区域内就诊率和医保基金使用效率。</w:t>
      </w:r>
      <w:bookmarkStart w:id="23" w:name="_Toc27398"/>
      <w:bookmarkStart w:id="24" w:name="_Toc12858"/>
      <w:r>
        <w:rPr>
          <w:rFonts w:hint="eastAsia" w:ascii="方正黑体_GBK" w:hAnsi="方正黑体_GBK" w:eastAsia="方正黑体_GBK" w:cs="方正黑体_GBK"/>
          <w:sz w:val="28"/>
          <w:szCs w:val="28"/>
          <w:lang w:val="en-US" w:eastAsia="zh-CN"/>
        </w:rPr>
        <w:t>四、建设内容</w:t>
      </w:r>
      <w:bookmarkEnd w:id="23"/>
      <w:bookmarkEnd w:id="24"/>
    </w:p>
    <w:p w14:paraId="79673CBD">
      <w:pPr>
        <w:keepNext w:val="0"/>
        <w:keepLines w:val="0"/>
        <w:pageBreakBefore w:val="0"/>
        <w:widowControl w:val="0"/>
        <w:kinsoku/>
        <w:wordWrap/>
        <w:overflowPunct/>
        <w:topLinePunct w:val="0"/>
        <w:autoSpaceDE/>
        <w:autoSpaceDN/>
        <w:bidi w:val="0"/>
        <w:adjustRightInd/>
        <w:snapToGrid/>
        <w:spacing w:after="157" w:afterLines="50" w:line="360" w:lineRule="auto"/>
        <w:jc w:val="center"/>
        <w:textAlignment w:val="auto"/>
        <w:rPr>
          <w:rFonts w:hint="eastAsia" w:ascii="宋体" w:hAnsi="宋体" w:eastAsia="宋体" w:cs="宋体"/>
          <w:lang w:val="en-US" w:eastAsia="zh-CN"/>
        </w:rPr>
      </w:pPr>
      <w:r>
        <w:rPr>
          <w:rFonts w:hint="eastAsia" w:ascii="宋体" w:hAnsi="宋体" w:eastAsia="宋体" w:cs="宋体"/>
          <w:sz w:val="28"/>
          <w:szCs w:val="28"/>
          <w:lang w:val="en-US" w:eastAsia="zh-CN"/>
        </w:rPr>
        <w:t>通过构建区域慢病管理平台，智能收集、汇总、分析各医疗系统的健康信息，生成区域居民疾病谱数据，结合慢病管理平台的分析引擎，对县域居民进行智能分组，由辖区总院的专科医生和分院的全科医生组建服务管理团队，提供慢病人群一体化管理服务，形成县、乡（街道）、村（社区）、家庭四级联动的健康管理网络，构建区域健康质控管理体系建设，形成县域多层次、多样化、连续性的健康管理体系。</w:t>
      </w:r>
    </w:p>
    <w:p w14:paraId="44EF9E67">
      <w:pPr>
        <w:pStyle w:val="3"/>
        <w:bidi w:val="0"/>
        <w:rPr>
          <w:rFonts w:hint="eastAsia" w:ascii="宋体" w:hAnsi="宋体" w:eastAsia="宋体" w:cs="宋体"/>
          <w:lang w:val="en-US" w:eastAsia="zh-CN"/>
        </w:rPr>
      </w:pPr>
      <w:bookmarkStart w:id="25" w:name="_Toc20409"/>
      <w:bookmarkStart w:id="26" w:name="_Toc14494"/>
      <w:r>
        <w:rPr>
          <w:rFonts w:hint="eastAsia" w:ascii="宋体" w:hAnsi="宋体" w:eastAsia="宋体" w:cs="宋体"/>
          <w:lang w:val="en-US" w:eastAsia="zh-CN"/>
        </w:rPr>
        <w:t>4.1慢病管理平台</w:t>
      </w:r>
      <w:bookmarkEnd w:id="25"/>
      <w:bookmarkEnd w:id="26"/>
    </w:p>
    <w:p w14:paraId="5C98B044">
      <w:pPr>
        <w:pStyle w:val="4"/>
        <w:bidi w:val="0"/>
        <w:rPr>
          <w:rFonts w:hint="eastAsia" w:ascii="宋体" w:hAnsi="宋体" w:eastAsia="宋体" w:cs="宋体"/>
          <w:lang w:val="en-US" w:eastAsia="zh-CN"/>
        </w:rPr>
      </w:pPr>
      <w:bookmarkStart w:id="27" w:name="_Toc10174"/>
      <w:r>
        <w:rPr>
          <w:rFonts w:hint="eastAsia" w:ascii="宋体" w:hAnsi="宋体" w:eastAsia="宋体" w:cs="宋体"/>
          <w:lang w:val="en-US" w:eastAsia="zh-CN"/>
        </w:rPr>
        <w:t>4.1.1数据共享与交换</w:t>
      </w:r>
      <w:bookmarkEnd w:id="27"/>
    </w:p>
    <w:p w14:paraId="3FA88B42">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以集约化建设模式实现区域慢病管理平台批量数据采集和个案数据交换，强化数据采集与交换的过程数据质量控制，以及数据标准化管理。</w:t>
      </w:r>
    </w:p>
    <w:p w14:paraId="206915AE">
      <w:pPr>
        <w:keepNext w:val="0"/>
        <w:keepLines w:val="0"/>
        <w:pageBreakBefore w:val="0"/>
        <w:widowControl w:val="0"/>
        <w:kinsoku/>
        <w:wordWrap/>
        <w:overflowPunct/>
        <w:topLinePunct w:val="0"/>
        <w:autoSpaceDE/>
        <w:autoSpaceDN/>
        <w:bidi w:val="0"/>
        <w:adjustRightInd/>
        <w:snapToGrid/>
        <w:spacing w:after="157" w:afterLines="50" w:line="360" w:lineRule="auto"/>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drawing>
          <wp:inline distT="0" distB="0" distL="114300" distR="114300">
            <wp:extent cx="5273040" cy="2380615"/>
            <wp:effectExtent l="0" t="0" r="10160" b="6985"/>
            <wp:docPr id="1" name="图片 1"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2"/>
                    <pic:cNvPicPr>
                      <a:picLocks noChangeAspect="1"/>
                    </pic:cNvPicPr>
                  </pic:nvPicPr>
                  <pic:blipFill>
                    <a:blip r:embed="rId6"/>
                    <a:stretch>
                      <a:fillRect/>
                    </a:stretch>
                  </pic:blipFill>
                  <pic:spPr>
                    <a:xfrm>
                      <a:off x="0" y="0"/>
                      <a:ext cx="5273040" cy="2380615"/>
                    </a:xfrm>
                    <a:prstGeom prst="rect">
                      <a:avLst/>
                    </a:prstGeom>
                  </pic:spPr>
                </pic:pic>
              </a:graphicData>
            </a:graphic>
          </wp:inline>
        </w:drawing>
      </w:r>
    </w:p>
    <w:p w14:paraId="06435F2F">
      <w:pPr>
        <w:bidi w:val="0"/>
        <w:jc w:val="center"/>
        <w:rPr>
          <w:rFonts w:hint="eastAsia" w:ascii="宋体" w:hAnsi="宋体" w:eastAsia="宋体" w:cs="宋体"/>
          <w:szCs w:val="28"/>
          <w:lang w:val="en-US" w:eastAsia="zh-CN"/>
        </w:rPr>
      </w:pPr>
      <w:r>
        <w:rPr>
          <w:rFonts w:hint="eastAsia" w:ascii="宋体" w:hAnsi="宋体" w:eastAsia="宋体" w:cs="宋体"/>
          <w:sz w:val="24"/>
          <w:szCs w:val="32"/>
          <w:lang w:val="en-US" w:eastAsia="zh-CN"/>
        </w:rPr>
        <w:t>整合县域全生命周期健康医疗数据资源</w:t>
      </w:r>
    </w:p>
    <w:p w14:paraId="1437644F">
      <w:pPr>
        <w:pStyle w:val="4"/>
        <w:bidi w:val="0"/>
        <w:rPr>
          <w:rFonts w:hint="eastAsia" w:ascii="宋体" w:hAnsi="宋体" w:eastAsia="宋体" w:cs="宋体"/>
          <w:lang w:val="en-US" w:eastAsia="zh-CN"/>
        </w:rPr>
      </w:pPr>
      <w:bookmarkStart w:id="28" w:name="_Toc20098"/>
      <w:r>
        <w:rPr>
          <w:rFonts w:hint="eastAsia" w:ascii="宋体" w:hAnsi="宋体" w:eastAsia="宋体" w:cs="宋体"/>
          <w:lang w:val="en-US" w:eastAsia="zh-CN"/>
        </w:rPr>
        <w:t>4.1.2数据资源中心</w:t>
      </w:r>
      <w:bookmarkEnd w:id="28"/>
    </w:p>
    <w:p w14:paraId="2C1C9C4F">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以区域城乡居民健康管理数据为核心，结合医疗健康服务业务体系的特点，综合区域医疗健康信息资源，采取统一的建设标准、统一的技术实现方式以促进医疗健康服务体系的数据共享和数据交换，消除信息孤岛、信息烟囱。</w:t>
      </w:r>
    </w:p>
    <w:p w14:paraId="74D3749C">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数据中心由各类共享交换数据集合组成，分为三个层次，包括汇聚各类业务数据的业务主题库、统一管理标准信息的标准信息库、支撑数据交换及数据深入利用的共享交换库和管理决策数据仓库、采集居民基本信息和健康信息的三大核心数据库，以及对基础数据、代码数据、公共数据也实现集中化设计和管理的平台运行支撑库。</w:t>
      </w:r>
    </w:p>
    <w:p w14:paraId="4CD40F0F">
      <w:pPr>
        <w:pStyle w:val="4"/>
        <w:bidi w:val="0"/>
        <w:rPr>
          <w:rFonts w:hint="eastAsia" w:ascii="宋体" w:hAnsi="宋体" w:eastAsia="宋体" w:cs="宋体"/>
          <w:lang w:val="en-US" w:eastAsia="zh-CN"/>
        </w:rPr>
      </w:pPr>
      <w:bookmarkStart w:id="29" w:name="_Toc18986"/>
      <w:r>
        <w:rPr>
          <w:rFonts w:hint="eastAsia" w:ascii="宋体" w:hAnsi="宋体" w:eastAsia="宋体" w:cs="宋体"/>
          <w:lang w:val="en-US" w:eastAsia="zh-CN"/>
        </w:rPr>
        <w:t>4.1.3互联互通接口</w:t>
      </w:r>
      <w:bookmarkEnd w:id="29"/>
    </w:p>
    <w:p w14:paraId="1FA890B8">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互联互通接口根据区域慢病管理平台接入规范，按照数据交换的内容和方式，以及数据交换的实施工作。结合区域慢病管理平台应用建设要求，需要实现与区域三级医院、二级医院、基层医疗卫生信息系统以及相关卫生条线系统的对接。结合地方特色需求，需要与其他相关系统对接，根据实际需求，另行设计。</w:t>
      </w:r>
    </w:p>
    <w:p w14:paraId="4DF921F3">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本期项目需要对接的系统如下：</w:t>
      </w:r>
    </w:p>
    <w:p w14:paraId="70CE6EE9">
      <w:pPr>
        <w:keepNext w:val="0"/>
        <w:keepLines w:val="0"/>
        <w:pageBreakBefore w:val="0"/>
        <w:widowControl w:val="0"/>
        <w:numPr>
          <w:ilvl w:val="0"/>
          <w:numId w:val="1"/>
        </w:numPr>
        <w:kinsoku/>
        <w:wordWrap/>
        <w:overflowPunct/>
        <w:topLinePunct w:val="0"/>
        <w:autoSpaceDE/>
        <w:autoSpaceDN/>
        <w:bidi w:val="0"/>
        <w:adjustRightInd/>
        <w:snapToGrid/>
        <w:spacing w:after="157" w:afterLines="50" w:line="360" w:lineRule="auto"/>
        <w:ind w:left="840" w:leftChars="0" w:hanging="42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基本公共卫生平台</w:t>
      </w:r>
    </w:p>
    <w:p w14:paraId="29DF6885">
      <w:pPr>
        <w:keepNext w:val="0"/>
        <w:keepLines w:val="0"/>
        <w:pageBreakBefore w:val="0"/>
        <w:widowControl w:val="0"/>
        <w:numPr>
          <w:ilvl w:val="0"/>
          <w:numId w:val="1"/>
        </w:numPr>
        <w:kinsoku/>
        <w:wordWrap/>
        <w:overflowPunct/>
        <w:topLinePunct w:val="0"/>
        <w:autoSpaceDE/>
        <w:autoSpaceDN/>
        <w:bidi w:val="0"/>
        <w:adjustRightInd/>
        <w:snapToGrid/>
        <w:spacing w:after="157" w:afterLines="50" w:line="360" w:lineRule="auto"/>
        <w:ind w:left="840" w:leftChars="0" w:hanging="42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家庭医生签约平台</w:t>
      </w:r>
    </w:p>
    <w:p w14:paraId="71612511">
      <w:pPr>
        <w:keepNext w:val="0"/>
        <w:keepLines w:val="0"/>
        <w:pageBreakBefore w:val="0"/>
        <w:widowControl w:val="0"/>
        <w:numPr>
          <w:ilvl w:val="0"/>
          <w:numId w:val="1"/>
        </w:numPr>
        <w:kinsoku/>
        <w:wordWrap/>
        <w:overflowPunct/>
        <w:topLinePunct w:val="0"/>
        <w:autoSpaceDE/>
        <w:autoSpaceDN/>
        <w:bidi w:val="0"/>
        <w:adjustRightInd/>
        <w:snapToGrid/>
        <w:spacing w:after="157" w:afterLines="50" w:line="360" w:lineRule="auto"/>
        <w:ind w:left="840" w:leftChars="0" w:hanging="42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区域 HIS系统</w:t>
      </w:r>
    </w:p>
    <w:p w14:paraId="00A2F6AC">
      <w:pPr>
        <w:keepNext w:val="0"/>
        <w:keepLines w:val="0"/>
        <w:pageBreakBefore w:val="0"/>
        <w:widowControl w:val="0"/>
        <w:numPr>
          <w:ilvl w:val="0"/>
          <w:numId w:val="1"/>
        </w:numPr>
        <w:kinsoku/>
        <w:wordWrap/>
        <w:overflowPunct/>
        <w:topLinePunct w:val="0"/>
        <w:autoSpaceDE/>
        <w:autoSpaceDN/>
        <w:bidi w:val="0"/>
        <w:adjustRightInd/>
        <w:snapToGrid/>
        <w:spacing w:after="157" w:afterLines="50" w:line="360" w:lineRule="auto"/>
        <w:ind w:left="840" w:leftChars="0" w:hanging="42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总院信息化系统（HIS+LIS+PACS+EMR等）</w:t>
      </w:r>
    </w:p>
    <w:p w14:paraId="5D016B4E">
      <w:pPr>
        <w:keepNext w:val="0"/>
        <w:keepLines w:val="0"/>
        <w:pageBreakBefore w:val="0"/>
        <w:widowControl w:val="0"/>
        <w:numPr>
          <w:ilvl w:val="0"/>
          <w:numId w:val="1"/>
        </w:numPr>
        <w:kinsoku/>
        <w:wordWrap/>
        <w:overflowPunct/>
        <w:topLinePunct w:val="0"/>
        <w:autoSpaceDE/>
        <w:autoSpaceDN/>
        <w:bidi w:val="0"/>
        <w:adjustRightInd/>
        <w:snapToGrid/>
        <w:spacing w:after="157" w:afterLines="50" w:line="360" w:lineRule="auto"/>
        <w:ind w:left="840" w:leftChars="0" w:hanging="42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总院健康体检系统</w:t>
      </w:r>
    </w:p>
    <w:p w14:paraId="68A20172">
      <w:pPr>
        <w:keepNext w:val="0"/>
        <w:keepLines w:val="0"/>
        <w:pageBreakBefore w:val="0"/>
        <w:widowControl w:val="0"/>
        <w:numPr>
          <w:ilvl w:val="0"/>
          <w:numId w:val="1"/>
        </w:numPr>
        <w:kinsoku/>
        <w:wordWrap/>
        <w:overflowPunct/>
        <w:topLinePunct w:val="0"/>
        <w:autoSpaceDE/>
        <w:autoSpaceDN/>
        <w:bidi w:val="0"/>
        <w:adjustRightInd/>
        <w:snapToGrid/>
        <w:spacing w:after="157" w:afterLines="50" w:line="360" w:lineRule="auto"/>
        <w:ind w:left="840" w:leftChars="0" w:hanging="42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其他需要对接的系统</w:t>
      </w:r>
    </w:p>
    <w:p w14:paraId="700A5253">
      <w:pPr>
        <w:pStyle w:val="4"/>
        <w:bidi w:val="0"/>
        <w:rPr>
          <w:rFonts w:hint="eastAsia" w:ascii="宋体" w:hAnsi="宋体" w:eastAsia="宋体" w:cs="宋体"/>
          <w:lang w:val="en-US" w:eastAsia="zh-CN"/>
        </w:rPr>
      </w:pPr>
      <w:bookmarkStart w:id="30" w:name="_Toc21001"/>
      <w:r>
        <w:rPr>
          <w:rFonts w:hint="eastAsia" w:ascii="宋体" w:hAnsi="宋体" w:eastAsia="宋体" w:cs="宋体"/>
          <w:lang w:val="en-US" w:eastAsia="zh-CN"/>
        </w:rPr>
        <w:t>4.1.4数据智能管理引擎</w:t>
      </w:r>
      <w:bookmarkEnd w:id="30"/>
    </w:p>
    <w:p w14:paraId="66F26F77">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数据智能管理引擎是慢病管理平台的核心功能模块之一，通过应用人工智能和大数据技术，对海量医疗健康数据进行智能管理与分析，提供精准、高效、自动化的模块应用。</w:t>
      </w:r>
    </w:p>
    <w:p w14:paraId="748C8FAD">
      <w:pPr>
        <w:pStyle w:val="5"/>
        <w:bidi w:val="0"/>
        <w:rPr>
          <w:rFonts w:hint="eastAsia" w:ascii="宋体" w:hAnsi="宋体" w:eastAsia="宋体" w:cs="宋体"/>
          <w:lang w:val="en-US" w:eastAsia="zh-CN"/>
        </w:rPr>
      </w:pPr>
      <w:bookmarkStart w:id="31" w:name="_Toc10710"/>
      <w:r>
        <w:rPr>
          <w:rFonts w:hint="eastAsia" w:ascii="宋体" w:hAnsi="宋体" w:eastAsia="宋体" w:cs="宋体"/>
          <w:lang w:val="en-US" w:eastAsia="zh-CN"/>
        </w:rPr>
        <w:t>4.1.4.1人群标签管理引擎</w:t>
      </w:r>
      <w:bookmarkEnd w:id="31"/>
    </w:p>
    <w:p w14:paraId="2C575E98">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根据多维度数据，对人群进行标签化管理。生成个性化健康标签，如高危人群、慢病人群、健康人群等，便于精准干预和管理。</w:t>
      </w:r>
    </w:p>
    <w:p w14:paraId="79D7555C">
      <w:pPr>
        <w:pStyle w:val="5"/>
        <w:bidi w:val="0"/>
        <w:rPr>
          <w:rFonts w:hint="eastAsia" w:ascii="宋体" w:hAnsi="宋体" w:eastAsia="宋体" w:cs="宋体"/>
          <w:lang w:val="en-US" w:eastAsia="zh-CN"/>
        </w:rPr>
      </w:pPr>
      <w:bookmarkStart w:id="32" w:name="_Toc29794"/>
      <w:r>
        <w:rPr>
          <w:rFonts w:hint="eastAsia" w:ascii="宋体" w:hAnsi="宋体" w:eastAsia="宋体" w:cs="宋体"/>
          <w:lang w:val="en-US" w:eastAsia="zh-CN"/>
        </w:rPr>
        <w:t>4.1.4.2高风险人群分类筛选引擎</w:t>
      </w:r>
      <w:bookmarkEnd w:id="32"/>
    </w:p>
    <w:p w14:paraId="217575F5">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智能识别并分类高风险人群，为早期干预提供数据支持。生成高风险人群名单，支持个性化干预措施和健康管理服务。</w:t>
      </w:r>
    </w:p>
    <w:p w14:paraId="3361D23D">
      <w:pPr>
        <w:pStyle w:val="5"/>
        <w:bidi w:val="0"/>
        <w:rPr>
          <w:rFonts w:hint="eastAsia" w:ascii="宋体" w:hAnsi="宋体" w:eastAsia="宋体" w:cs="宋体"/>
          <w:lang w:val="en-US" w:eastAsia="zh-CN"/>
        </w:rPr>
      </w:pPr>
      <w:bookmarkStart w:id="33" w:name="_Toc32345"/>
      <w:r>
        <w:rPr>
          <w:rFonts w:hint="eastAsia" w:ascii="宋体" w:hAnsi="宋体" w:eastAsia="宋体" w:cs="宋体"/>
          <w:lang w:val="en-US" w:eastAsia="zh-CN"/>
        </w:rPr>
        <w:t>4.1.4.3慢病人群分类分级管理引擎</w:t>
      </w:r>
      <w:bookmarkEnd w:id="33"/>
    </w:p>
    <w:p w14:paraId="78295B73">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对慢性病患者进行分类与分级管理，提供精准的健康管理服务。为不同类别的慢病患者制定个性化管理方案，包括自我管理、一体化签约管理的等。</w:t>
      </w:r>
    </w:p>
    <w:p w14:paraId="2FBC406A">
      <w:pPr>
        <w:pStyle w:val="5"/>
        <w:bidi w:val="0"/>
        <w:rPr>
          <w:rFonts w:hint="eastAsia" w:ascii="宋体" w:hAnsi="宋体" w:eastAsia="宋体" w:cs="宋体"/>
          <w:b/>
          <w:bCs/>
          <w:sz w:val="28"/>
          <w:szCs w:val="28"/>
          <w:lang w:val="en-US" w:eastAsia="zh-CN"/>
        </w:rPr>
      </w:pPr>
      <w:bookmarkStart w:id="34" w:name="_Toc17742"/>
      <w:r>
        <w:rPr>
          <w:rFonts w:hint="eastAsia" w:ascii="宋体" w:hAnsi="宋体" w:eastAsia="宋体" w:cs="宋体"/>
          <w:lang w:val="en-US" w:eastAsia="zh-CN"/>
        </w:rPr>
        <w:t>4.1.4.4</w:t>
      </w:r>
      <w:r>
        <w:rPr>
          <w:rFonts w:hint="eastAsia" w:ascii="宋体" w:hAnsi="宋体" w:eastAsia="宋体" w:cs="宋体"/>
          <w:b/>
          <w:bCs/>
          <w:sz w:val="28"/>
          <w:szCs w:val="28"/>
          <w:lang w:val="en-US" w:eastAsia="zh-CN"/>
        </w:rPr>
        <w:t>模块化消息推送引擎</w:t>
      </w:r>
      <w:bookmarkEnd w:id="34"/>
    </w:p>
    <w:p w14:paraId="4B7EB714">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根据目标人群的分类和需求，进行模块化的消息推送。通过短信、微信等多渠道推送信息，实现精准消息推送。</w:t>
      </w:r>
    </w:p>
    <w:p w14:paraId="264FE2AE">
      <w:pPr>
        <w:pStyle w:val="5"/>
        <w:bidi w:val="0"/>
        <w:rPr>
          <w:rFonts w:hint="eastAsia" w:ascii="宋体" w:hAnsi="宋体" w:eastAsia="宋体" w:cs="宋体"/>
          <w:b/>
          <w:bCs/>
          <w:sz w:val="28"/>
          <w:szCs w:val="28"/>
          <w:lang w:val="en-US" w:eastAsia="zh-CN"/>
        </w:rPr>
      </w:pPr>
      <w:bookmarkStart w:id="35" w:name="_Toc7378"/>
      <w:r>
        <w:rPr>
          <w:rFonts w:hint="eastAsia" w:ascii="宋体" w:hAnsi="宋体" w:eastAsia="宋体" w:cs="宋体"/>
          <w:lang w:val="en-US" w:eastAsia="zh-CN"/>
        </w:rPr>
        <w:t>4.1.4.5</w:t>
      </w:r>
      <w:r>
        <w:rPr>
          <w:rFonts w:hint="eastAsia" w:ascii="宋体" w:hAnsi="宋体" w:eastAsia="宋体" w:cs="宋体"/>
          <w:b/>
          <w:bCs/>
          <w:sz w:val="28"/>
          <w:szCs w:val="28"/>
          <w:lang w:val="en-US" w:eastAsia="zh-CN"/>
        </w:rPr>
        <w:t>短信智能管理引擎</w:t>
      </w:r>
      <w:bookmarkEnd w:id="35"/>
    </w:p>
    <w:p w14:paraId="27568D63">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定期向目标人群发送个性化的健康管理短信，提升居民健康管理的参与度和遵从性。</w:t>
      </w:r>
    </w:p>
    <w:p w14:paraId="27583F6A">
      <w:pPr>
        <w:pStyle w:val="5"/>
        <w:bidi w:val="0"/>
        <w:rPr>
          <w:rFonts w:hint="eastAsia" w:ascii="宋体" w:hAnsi="宋体" w:eastAsia="宋体" w:cs="宋体"/>
          <w:b/>
          <w:bCs/>
          <w:sz w:val="28"/>
          <w:szCs w:val="28"/>
          <w:lang w:val="en-US" w:eastAsia="zh-CN"/>
        </w:rPr>
      </w:pPr>
      <w:bookmarkStart w:id="36" w:name="_Toc16464"/>
      <w:r>
        <w:rPr>
          <w:rFonts w:hint="eastAsia" w:ascii="宋体" w:hAnsi="宋体" w:eastAsia="宋体" w:cs="宋体"/>
          <w:lang w:val="en-US" w:eastAsia="zh-CN"/>
        </w:rPr>
        <w:t>4.1.4.6</w:t>
      </w:r>
      <w:r>
        <w:rPr>
          <w:rFonts w:hint="eastAsia" w:ascii="宋体" w:hAnsi="宋体" w:eastAsia="宋体" w:cs="宋体"/>
          <w:b/>
          <w:bCs/>
          <w:sz w:val="28"/>
          <w:szCs w:val="28"/>
          <w:lang w:val="en-US" w:eastAsia="zh-CN"/>
        </w:rPr>
        <w:t>知识库管理</w:t>
      </w:r>
      <w:bookmarkEnd w:id="36"/>
    </w:p>
    <w:p w14:paraId="498537BB">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建立和管理健康知识库，提供可靠的医疗参考信息。为医生、居民、健康管理者提供及时、准确的医学知识支持。</w:t>
      </w:r>
    </w:p>
    <w:p w14:paraId="3AE5EA47">
      <w:pPr>
        <w:pStyle w:val="3"/>
        <w:bidi w:val="0"/>
        <w:rPr>
          <w:rFonts w:hint="eastAsia" w:ascii="宋体" w:hAnsi="宋体" w:eastAsia="宋体" w:cs="宋体"/>
          <w:lang w:val="en-US" w:eastAsia="zh-CN"/>
        </w:rPr>
      </w:pPr>
      <w:bookmarkStart w:id="37" w:name="_Toc2600"/>
      <w:bookmarkStart w:id="38" w:name="_Toc6020"/>
      <w:r>
        <w:rPr>
          <w:rFonts w:hint="eastAsia" w:ascii="宋体" w:hAnsi="宋体" w:eastAsia="宋体" w:cs="宋体"/>
          <w:lang w:val="en-US" w:eastAsia="zh-CN"/>
        </w:rPr>
        <w:t>4.2多角色业务设计</w:t>
      </w:r>
      <w:bookmarkEnd w:id="37"/>
      <w:bookmarkEnd w:id="38"/>
    </w:p>
    <w:p w14:paraId="2AA72DCF">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构建“一核多元”为基本框架，充分发挥各级医疗机构的卫生健康管理职能，联合区域内乡村全科医生以及中心医院的专科医生，共同组建居民健康签约服务团队，形成以“指导患者合理化就医+提供全程医疗服务+慢病管理”为主要服务内容的专科医生、全科医生、乡村医生的区域共管服务体系，全面、科学、合理的提升县域居民的健康水平，构筑多元共治、多位一体的全民健康管理体系。</w:t>
      </w:r>
    </w:p>
    <w:p w14:paraId="17C85A24">
      <w:pPr>
        <w:pStyle w:val="3"/>
        <w:bidi w:val="0"/>
        <w:rPr>
          <w:rFonts w:hint="eastAsia" w:ascii="宋体" w:hAnsi="宋体" w:eastAsia="宋体" w:cs="宋体"/>
          <w:lang w:val="en-US" w:eastAsia="zh-CN"/>
        </w:rPr>
      </w:pPr>
      <w:bookmarkStart w:id="39" w:name="_Toc14425"/>
      <w:bookmarkStart w:id="40" w:name="_Toc21135"/>
      <w:r>
        <w:rPr>
          <w:rFonts w:hint="eastAsia" w:ascii="宋体" w:hAnsi="宋体" w:eastAsia="宋体" w:cs="宋体"/>
          <w:lang w:val="en-US" w:eastAsia="zh-CN"/>
        </w:rPr>
        <w:t>4.3 智能早筛与风险评估</w:t>
      </w:r>
      <w:bookmarkEnd w:id="39"/>
    </w:p>
    <w:p w14:paraId="444304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整合构建AI预警系统，实现高危人群精准识别与动态风险分层，定制差异化筛查周期。依托医疗机构数据互通能力，覆盖慢病早筛流程，优化资源分配与筛查效率。</w:t>
      </w:r>
    </w:p>
    <w:p w14:paraId="55B56E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数据整合：将问卷数据上传至数据中心。</w:t>
      </w:r>
    </w:p>
    <w:p w14:paraId="1699BA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初步筛查：使用高危筛查算法进行初步判断，识别出高危人群。</w:t>
      </w:r>
    </w:p>
    <w:p w14:paraId="160283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数据分析：应用大数据分析技术，对筛查结果进行统计分析，确定高危人群比例和分布特征。</w:t>
      </w:r>
    </w:p>
    <w:p w14:paraId="63F9B7AD">
      <w:pPr>
        <w:pStyle w:val="3"/>
        <w:bidi w:val="0"/>
        <w:rPr>
          <w:rFonts w:hint="eastAsia" w:ascii="宋体" w:hAnsi="宋体" w:eastAsia="宋体" w:cs="宋体"/>
          <w:lang w:val="en-US" w:eastAsia="zh-CN"/>
        </w:rPr>
      </w:pPr>
      <w:bookmarkStart w:id="41" w:name="_Toc20619"/>
      <w:r>
        <w:rPr>
          <w:rFonts w:hint="eastAsia" w:ascii="宋体" w:hAnsi="宋体" w:eastAsia="宋体" w:cs="宋体"/>
          <w:lang w:val="en-US" w:eastAsia="zh-CN"/>
        </w:rPr>
        <w:t>4.4区域疾病谱建设</w:t>
      </w:r>
      <w:bookmarkEnd w:id="40"/>
      <w:bookmarkEnd w:id="41"/>
    </w:p>
    <w:p w14:paraId="751F97E5">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通过大数据技术和统计分析构建的疾病分布和发生情况的图谱。它能够展示在区域内，各种疾病的发病率、分布情况、趋势及相关性。</w:t>
      </w:r>
    </w:p>
    <w:p w14:paraId="765C39A8">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发病率统计：统计和分析区域内各种疾病的发病率。</w:t>
      </w:r>
    </w:p>
    <w:p w14:paraId="54243ADE">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地理分布：展示不同疾病在区域内的空间分布情况。</w:t>
      </w:r>
    </w:p>
    <w:p w14:paraId="38B97FE0">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疾病与年龄：分析不同年龄段人群的疾病分布情况。</w:t>
      </w:r>
    </w:p>
    <w:p w14:paraId="77C61A8C">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疾病与性别：分析不同性别人群的疾病分布情况。</w:t>
      </w:r>
    </w:p>
    <w:p w14:paraId="33BFFD0F">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疾病与其他人口特征：结合职业、生活习惯等因素，分析疾病分布，提升健康干预的精准度。</w:t>
      </w:r>
    </w:p>
    <w:p w14:paraId="38B4D9B8">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时序趋势：通过时间序列数据，分析疾病的发生和变化趋势。</w:t>
      </w:r>
    </w:p>
    <w:p w14:paraId="28C43D4F">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多病种关联：分析不同疾病之间的关联情况，揭示共病现象和潜在的病因关系。</w:t>
      </w:r>
    </w:p>
    <w:p w14:paraId="49B9F5B6">
      <w:pPr>
        <w:pStyle w:val="3"/>
        <w:bidi w:val="0"/>
        <w:rPr>
          <w:rFonts w:hint="eastAsia" w:ascii="宋体" w:hAnsi="宋体" w:eastAsia="宋体" w:cs="宋体"/>
          <w:lang w:val="en-US" w:eastAsia="zh-CN"/>
        </w:rPr>
      </w:pPr>
      <w:bookmarkStart w:id="42" w:name="_Toc19366"/>
      <w:bookmarkStart w:id="43" w:name="_Toc3541"/>
      <w:r>
        <w:rPr>
          <w:rFonts w:hint="eastAsia" w:ascii="宋体" w:hAnsi="宋体" w:eastAsia="宋体" w:cs="宋体"/>
          <w:lang w:val="en-US" w:eastAsia="zh-CN"/>
        </w:rPr>
        <w:t>4.5</w:t>
      </w:r>
      <w:bookmarkEnd w:id="42"/>
      <w:r>
        <w:rPr>
          <w:rFonts w:hint="eastAsia" w:ascii="宋体" w:hAnsi="宋体" w:eastAsia="宋体" w:cs="宋体"/>
          <w:lang w:val="en-US" w:eastAsia="zh-CN"/>
        </w:rPr>
        <w:t>区域居民健康画像</w:t>
      </w:r>
      <w:bookmarkEnd w:id="43"/>
    </w:p>
    <w:p w14:paraId="03BB3F7B">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构建居民个人健康画像，智能呈现居民基本信息、当前健康状态、既往史、家族史、当前签约服务状态、48 小时内的健康检测信息以及居民在在区域内的所有门诊诊疗、住院诊疗、健康体检、检验检查信息等内容，实现区域内各级医疗机构的医务人员对居民健康状态的“一目了然”。</w:t>
      </w:r>
    </w:p>
    <w:p w14:paraId="53E1D91D">
      <w:pPr>
        <w:pStyle w:val="3"/>
        <w:bidi w:val="0"/>
        <w:rPr>
          <w:rFonts w:hint="eastAsia" w:ascii="宋体" w:hAnsi="宋体" w:eastAsia="宋体" w:cs="宋体"/>
          <w:lang w:val="en-US" w:eastAsia="zh-CN"/>
        </w:rPr>
      </w:pPr>
      <w:bookmarkStart w:id="44" w:name="_Toc14793"/>
      <w:r>
        <w:rPr>
          <w:rFonts w:hint="eastAsia" w:ascii="宋体" w:hAnsi="宋体" w:eastAsia="宋体" w:cs="宋体"/>
          <w:lang w:val="en-US" w:eastAsia="zh-CN"/>
        </w:rPr>
        <w:t>4.6区域全人群智能筛选</w:t>
      </w:r>
      <w:bookmarkEnd w:id="44"/>
    </w:p>
    <w:p w14:paraId="7DF3EA40">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依托平台智能，构建的区域全民健康大数据，生成区域全民、全生命周期的健康档案，辅助医生与管理者实现区域全人群管理。</w:t>
      </w:r>
    </w:p>
    <w:p w14:paraId="71D39B38">
      <w:pPr>
        <w:pStyle w:val="3"/>
        <w:bidi w:val="0"/>
        <w:rPr>
          <w:rFonts w:hint="eastAsia" w:ascii="宋体" w:hAnsi="宋体" w:eastAsia="宋体" w:cs="宋体"/>
          <w:lang w:val="en-US" w:eastAsia="zh-CN"/>
        </w:rPr>
      </w:pPr>
      <w:bookmarkStart w:id="45" w:name="_Toc27168"/>
      <w:bookmarkStart w:id="46" w:name="_Toc3437"/>
      <w:r>
        <w:rPr>
          <w:rFonts w:hint="eastAsia" w:ascii="宋体" w:hAnsi="宋体" w:eastAsia="宋体" w:cs="宋体"/>
          <w:lang w:val="en-US" w:eastAsia="zh-CN"/>
        </w:rPr>
        <w:t>4.7 人群健康管理</w:t>
      </w:r>
      <w:bookmarkEnd w:id="45"/>
      <w:bookmarkEnd w:id="46"/>
    </w:p>
    <w:p w14:paraId="382052BA">
      <w:pPr>
        <w:pStyle w:val="4"/>
        <w:bidi w:val="0"/>
        <w:rPr>
          <w:rFonts w:hint="eastAsia" w:ascii="宋体" w:hAnsi="宋体" w:eastAsia="宋体" w:cs="宋体"/>
          <w:lang w:val="en-US" w:eastAsia="zh-CN"/>
        </w:rPr>
      </w:pPr>
      <w:bookmarkStart w:id="47" w:name="_Toc23921"/>
      <w:r>
        <w:rPr>
          <w:rFonts w:hint="eastAsia" w:ascii="宋体" w:hAnsi="宋体" w:eastAsia="宋体" w:cs="宋体"/>
          <w:lang w:val="en-US" w:eastAsia="zh-CN"/>
        </w:rPr>
        <w:t>4.7.1慢病高危人群管理</w:t>
      </w:r>
      <w:bookmarkEnd w:id="47"/>
    </w:p>
    <w:p w14:paraId="3340A7A6">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依托慢病管理平台，基于区域全民健康档案，依据县域慢病管理中心的国家与省级标准，自动筛选区域慢病高危人群，并自动区分一般高危与急性高危人群（分标展示），开展健康管理。</w:t>
      </w:r>
    </w:p>
    <w:p w14:paraId="658DB37A">
      <w:pPr>
        <w:pStyle w:val="5"/>
        <w:bidi w:val="0"/>
        <w:rPr>
          <w:rFonts w:hint="eastAsia" w:ascii="宋体" w:hAnsi="宋体" w:eastAsia="宋体" w:cs="宋体"/>
        </w:rPr>
      </w:pPr>
      <w:bookmarkStart w:id="48" w:name="_Toc13520"/>
      <w:bookmarkStart w:id="49" w:name="_Toc21423"/>
      <w:r>
        <w:rPr>
          <w:rFonts w:hint="eastAsia" w:ascii="宋体" w:hAnsi="宋体" w:eastAsia="宋体" w:cs="宋体"/>
          <w:lang w:val="en-US" w:eastAsia="zh-CN"/>
        </w:rPr>
        <w:t>4.7.1.1</w:t>
      </w:r>
      <w:r>
        <w:rPr>
          <w:rFonts w:hint="eastAsia" w:ascii="宋体" w:hAnsi="宋体" w:eastAsia="宋体" w:cs="宋体"/>
        </w:rPr>
        <w:t>高血压高危人群管理</w:t>
      </w:r>
      <w:bookmarkEnd w:id="48"/>
      <w:bookmarkEnd w:id="49"/>
    </w:p>
    <w:p w14:paraId="74A422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rPr>
      </w:pPr>
      <w:r>
        <w:rPr>
          <w:rFonts w:hint="eastAsia" w:ascii="宋体" w:hAnsi="宋体" w:eastAsia="宋体" w:cs="宋体"/>
          <w:sz w:val="28"/>
          <w:szCs w:val="36"/>
        </w:rPr>
        <w:t>1）具有高血压高危患者登记卡管理功能。</w:t>
      </w:r>
    </w:p>
    <w:p w14:paraId="3B1D44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rPr>
      </w:pPr>
      <w:r>
        <w:rPr>
          <w:rFonts w:hint="eastAsia" w:ascii="宋体" w:hAnsi="宋体" w:eastAsia="宋体" w:cs="宋体"/>
          <w:sz w:val="28"/>
          <w:szCs w:val="36"/>
        </w:rPr>
        <w:t>2）具有高血压高危随访功能，在该模块下能直接对患者进行随访管理。</w:t>
      </w:r>
    </w:p>
    <w:p w14:paraId="1B9E6D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rPr>
      </w:pPr>
      <w:r>
        <w:rPr>
          <w:rFonts w:hint="eastAsia" w:ascii="宋体" w:hAnsi="宋体" w:eastAsia="宋体" w:cs="宋体"/>
          <w:sz w:val="28"/>
          <w:szCs w:val="36"/>
        </w:rPr>
        <w:t>3）具有健康处方功能，在该模块对患者开具健康处方，支持饮食、运动、心理、中医、戒烟等健康处方模板。</w:t>
      </w:r>
    </w:p>
    <w:p w14:paraId="5891B7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rPr>
      </w:pPr>
      <w:r>
        <w:rPr>
          <w:rFonts w:hint="eastAsia" w:ascii="宋体" w:hAnsi="宋体" w:eastAsia="宋体" w:cs="宋体"/>
          <w:sz w:val="28"/>
          <w:szCs w:val="36"/>
        </w:rPr>
        <w:t>4）具有健康宣教功能，在该模块下为患者提供高血压高危健康宣教服务，支持短信、微信公众号等不同形式。</w:t>
      </w:r>
    </w:p>
    <w:p w14:paraId="2E782F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rPr>
      </w:pPr>
      <w:r>
        <w:rPr>
          <w:rFonts w:hint="eastAsia" w:ascii="宋体" w:hAnsi="宋体" w:eastAsia="宋体" w:cs="宋体"/>
          <w:sz w:val="28"/>
          <w:szCs w:val="36"/>
        </w:rPr>
        <w:t>5）系统支持人群自动识别，支持人群分类筛选。</w:t>
      </w:r>
    </w:p>
    <w:p w14:paraId="69C80BE2">
      <w:pPr>
        <w:pStyle w:val="5"/>
        <w:bidi w:val="0"/>
        <w:rPr>
          <w:rFonts w:hint="eastAsia" w:ascii="宋体" w:hAnsi="宋体" w:eastAsia="宋体" w:cs="宋体"/>
        </w:rPr>
      </w:pPr>
      <w:bookmarkStart w:id="50" w:name="_Toc10453"/>
      <w:bookmarkStart w:id="51" w:name="_Toc10233"/>
      <w:r>
        <w:rPr>
          <w:rFonts w:hint="eastAsia" w:ascii="宋体" w:hAnsi="宋体" w:eastAsia="宋体" w:cs="宋体"/>
          <w:lang w:val="en-US" w:eastAsia="zh-CN"/>
        </w:rPr>
        <w:t>4.7.1.2</w:t>
      </w:r>
      <w:r>
        <w:rPr>
          <w:rFonts w:hint="eastAsia" w:ascii="宋体" w:hAnsi="宋体" w:eastAsia="宋体" w:cs="宋体"/>
        </w:rPr>
        <w:t>糖尿病高危人群管理</w:t>
      </w:r>
      <w:bookmarkEnd w:id="50"/>
      <w:bookmarkEnd w:id="51"/>
    </w:p>
    <w:p w14:paraId="0AE9F0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rPr>
      </w:pPr>
      <w:r>
        <w:rPr>
          <w:rFonts w:hint="eastAsia" w:ascii="宋体" w:hAnsi="宋体" w:eastAsia="宋体" w:cs="宋体"/>
          <w:sz w:val="28"/>
          <w:szCs w:val="36"/>
        </w:rPr>
        <w:t>1）具有糖尿病高危患者登记卡管理功能。</w:t>
      </w:r>
    </w:p>
    <w:p w14:paraId="13307E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rPr>
      </w:pPr>
      <w:r>
        <w:rPr>
          <w:rFonts w:hint="eastAsia" w:ascii="宋体" w:hAnsi="宋体" w:eastAsia="宋体" w:cs="宋体"/>
          <w:sz w:val="28"/>
          <w:szCs w:val="36"/>
        </w:rPr>
        <w:t>2）具有糖尿病高危随访功能，在该模块下能直接对患者进行随访管理。</w:t>
      </w:r>
    </w:p>
    <w:p w14:paraId="1B0342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rPr>
      </w:pPr>
      <w:r>
        <w:rPr>
          <w:rFonts w:hint="eastAsia" w:ascii="宋体" w:hAnsi="宋体" w:eastAsia="宋体" w:cs="宋体"/>
          <w:sz w:val="28"/>
          <w:szCs w:val="36"/>
        </w:rPr>
        <w:t>3）具有健康处方功能，在该模块对患者开具健康处方，支持饮食、运动、心理、中医、戒烟等健康处方模板。</w:t>
      </w:r>
    </w:p>
    <w:p w14:paraId="02CF6F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rPr>
      </w:pPr>
      <w:r>
        <w:rPr>
          <w:rFonts w:hint="eastAsia" w:ascii="宋体" w:hAnsi="宋体" w:eastAsia="宋体" w:cs="宋体"/>
          <w:sz w:val="28"/>
          <w:szCs w:val="36"/>
        </w:rPr>
        <w:t>4）具有健康宣教功能，在该模块下为患者提供糖尿病高危健康宣教服务，支持短信、微信公众号等不同形式。</w:t>
      </w:r>
    </w:p>
    <w:p w14:paraId="535657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rPr>
      </w:pPr>
      <w:r>
        <w:rPr>
          <w:rFonts w:hint="eastAsia" w:ascii="宋体" w:hAnsi="宋体" w:eastAsia="宋体" w:cs="宋体"/>
          <w:sz w:val="28"/>
          <w:szCs w:val="36"/>
        </w:rPr>
        <w:t>5）系统支持人群自动识别，支持人群分类筛选。</w:t>
      </w:r>
    </w:p>
    <w:p w14:paraId="325B68F3">
      <w:pPr>
        <w:pStyle w:val="5"/>
        <w:bidi w:val="0"/>
        <w:rPr>
          <w:rFonts w:hint="eastAsia" w:ascii="宋体" w:hAnsi="宋体" w:eastAsia="宋体" w:cs="宋体"/>
        </w:rPr>
      </w:pPr>
      <w:bookmarkStart w:id="52" w:name="_Toc18543"/>
      <w:bookmarkStart w:id="53" w:name="_Toc8192"/>
      <w:r>
        <w:rPr>
          <w:rFonts w:hint="eastAsia" w:ascii="宋体" w:hAnsi="宋体" w:eastAsia="宋体" w:cs="宋体"/>
          <w:lang w:val="en-US" w:eastAsia="zh-CN"/>
        </w:rPr>
        <w:t>4.7.1.3</w:t>
      </w:r>
      <w:r>
        <w:rPr>
          <w:rFonts w:hint="eastAsia" w:ascii="宋体" w:hAnsi="宋体" w:eastAsia="宋体" w:cs="宋体"/>
        </w:rPr>
        <w:t>慢阻肺高危人群管理</w:t>
      </w:r>
      <w:bookmarkEnd w:id="52"/>
      <w:bookmarkEnd w:id="53"/>
    </w:p>
    <w:p w14:paraId="3990EA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1）具有慢阻肺高危患者登记卡管理功能。</w:t>
      </w:r>
    </w:p>
    <w:p w14:paraId="7694D5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2）具有慢阻肺高危随访功能，在该模块下能直接对患者进行随访管理。</w:t>
      </w:r>
    </w:p>
    <w:p w14:paraId="0DAAD8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3）具有健康处方功能，在该模块对患者开具健康处方，支持饮食、运动、心理、中医、戒烟等健康处方模板。</w:t>
      </w:r>
    </w:p>
    <w:p w14:paraId="3B8158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4）具有健康宣教功能，在该模块下为患者提供慢阻肺高危健康宣教服务，支持短信、微信公众号等不同形式。</w:t>
      </w:r>
    </w:p>
    <w:p w14:paraId="3F4E5D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5）系统支持人群自动识别，支持人群分类筛选。</w:t>
      </w:r>
    </w:p>
    <w:p w14:paraId="53B1E84A">
      <w:pPr>
        <w:pStyle w:val="5"/>
        <w:bidi w:val="0"/>
        <w:rPr>
          <w:rFonts w:hint="eastAsia" w:ascii="宋体" w:hAnsi="宋体" w:eastAsia="宋体" w:cs="宋体"/>
          <w:lang w:val="en-US" w:eastAsia="zh-CN"/>
        </w:rPr>
      </w:pPr>
      <w:bookmarkStart w:id="54" w:name="_Toc32020"/>
      <w:bookmarkStart w:id="55" w:name="_Toc30834"/>
      <w:r>
        <w:rPr>
          <w:rFonts w:hint="eastAsia" w:ascii="宋体" w:hAnsi="宋体" w:eastAsia="宋体" w:cs="宋体"/>
          <w:lang w:val="en-US" w:eastAsia="zh-CN"/>
        </w:rPr>
        <w:t>4.7.1.4冠心病高危人群管理</w:t>
      </w:r>
      <w:bookmarkEnd w:id="54"/>
      <w:bookmarkEnd w:id="55"/>
    </w:p>
    <w:p w14:paraId="12A875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1）具有冠心病高危患者登记卡管理功能。</w:t>
      </w:r>
    </w:p>
    <w:p w14:paraId="574C00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2）具有冠心病高危随访功能，在该模块下能直接对患者进行随访管理。</w:t>
      </w:r>
    </w:p>
    <w:p w14:paraId="4862B1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3）具有健康处方功能，在该模块对患者开具健康处方，支持饮食、运动、心理、中医、戒烟等健康处方模板。</w:t>
      </w:r>
    </w:p>
    <w:p w14:paraId="611E2A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4）具有健康宣教功能，在该模块下为患者提供冠心病高危健康宣教服务，支持短信、微信公众号等不同形式。</w:t>
      </w:r>
    </w:p>
    <w:p w14:paraId="530E51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5）系统支持人群自动识别，支持人群分类筛选。</w:t>
      </w:r>
    </w:p>
    <w:p w14:paraId="372EBD89">
      <w:pPr>
        <w:pStyle w:val="5"/>
        <w:bidi w:val="0"/>
        <w:rPr>
          <w:rFonts w:hint="eastAsia" w:ascii="宋体" w:hAnsi="宋体" w:eastAsia="宋体" w:cs="宋体"/>
          <w:lang w:val="en-US" w:eastAsia="zh-CN"/>
        </w:rPr>
      </w:pPr>
      <w:bookmarkStart w:id="56" w:name="_Toc14373"/>
      <w:bookmarkStart w:id="57" w:name="_Toc10577"/>
      <w:r>
        <w:rPr>
          <w:rFonts w:hint="eastAsia" w:ascii="宋体" w:hAnsi="宋体" w:eastAsia="宋体" w:cs="宋体"/>
          <w:lang w:val="en-US" w:eastAsia="zh-CN"/>
        </w:rPr>
        <w:t>4.7.1.5脑卒中高危人群管理</w:t>
      </w:r>
      <w:bookmarkEnd w:id="56"/>
      <w:bookmarkEnd w:id="57"/>
    </w:p>
    <w:p w14:paraId="102470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1）具有脑卒中高危患者登记卡管理功能。</w:t>
      </w:r>
    </w:p>
    <w:p w14:paraId="6AD41C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2）具有脑卒中方功能，在该模块对患者开具健康处方，支持饮食、运动、心理、中医、戒烟等健康处方模板。</w:t>
      </w:r>
    </w:p>
    <w:p w14:paraId="4B2BE6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4）具有健康宣教功能，在该模块下为患者提供脑卒中高危健康宣教服务，支持短信、微信公众号等不同形式。</w:t>
      </w:r>
    </w:p>
    <w:p w14:paraId="41152A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5）系统支持人群自动识别，支持人群分类筛选。</w:t>
      </w:r>
    </w:p>
    <w:p w14:paraId="5B4472A3">
      <w:pPr>
        <w:pStyle w:val="5"/>
        <w:bidi w:val="0"/>
        <w:rPr>
          <w:rFonts w:hint="eastAsia" w:ascii="宋体" w:hAnsi="宋体" w:eastAsia="宋体" w:cs="宋体"/>
          <w:lang w:val="en-US" w:eastAsia="zh-CN"/>
        </w:rPr>
      </w:pPr>
      <w:bookmarkStart w:id="58" w:name="_Toc24929"/>
      <w:bookmarkStart w:id="59" w:name="_Toc21832"/>
      <w:r>
        <w:rPr>
          <w:rFonts w:hint="eastAsia" w:ascii="宋体" w:hAnsi="宋体" w:eastAsia="宋体" w:cs="宋体"/>
          <w:lang w:val="en-US" w:eastAsia="zh-CN"/>
        </w:rPr>
        <w:t>4.7.1.6慢性肾病高危人群管理</w:t>
      </w:r>
      <w:bookmarkEnd w:id="58"/>
      <w:bookmarkEnd w:id="59"/>
    </w:p>
    <w:p w14:paraId="311369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1）具有慢性肾病高危患者登记卡管理功能。</w:t>
      </w:r>
    </w:p>
    <w:p w14:paraId="0D3A43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2）具有慢性肾病高危随访功能，在该模块下能直接对患者进行随访管理。</w:t>
      </w:r>
    </w:p>
    <w:p w14:paraId="64BAB4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3）具有健康处方功能，在该模块对患者开具健康处方，支持饮食、运动、心理、中医、戒烟等健康处方模板。</w:t>
      </w:r>
    </w:p>
    <w:p w14:paraId="5A89FF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4）具有健康宣教功能，在该模块下为患者提供慢性肾病高危健康宣教服务，支持短信、微信公众号等不同形式。</w:t>
      </w:r>
    </w:p>
    <w:p w14:paraId="5C8715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5）系统支持人群自动识别，支持人群分类筛选。</w:t>
      </w:r>
    </w:p>
    <w:p w14:paraId="0C428C27">
      <w:pPr>
        <w:pStyle w:val="4"/>
        <w:bidi w:val="0"/>
        <w:rPr>
          <w:rFonts w:hint="eastAsia" w:ascii="宋体" w:hAnsi="宋体" w:eastAsia="宋体" w:cs="宋体"/>
          <w:lang w:val="en-US" w:eastAsia="zh-CN"/>
        </w:rPr>
      </w:pPr>
      <w:bookmarkStart w:id="60" w:name="_Toc18138"/>
      <w:r>
        <w:rPr>
          <w:rFonts w:hint="eastAsia" w:ascii="宋体" w:hAnsi="宋体" w:eastAsia="宋体" w:cs="宋体"/>
          <w:lang w:val="en-US" w:eastAsia="zh-CN"/>
        </w:rPr>
        <w:t>4.7.2慢病人群管理</w:t>
      </w:r>
      <w:bookmarkEnd w:id="60"/>
    </w:p>
    <w:p w14:paraId="3A1F74A0">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依托慢病管理平台，基于区域全民健康档案，自动筛选区域慢病患病人群，由联合区域内的总院专科医生、分院/村所的全科医生构建一体化服务管理团队，根据居民不同的健康状态在不同医疗机构进行管理，构建区域内科学、全面的评价及考核体系。</w:t>
      </w:r>
    </w:p>
    <w:p w14:paraId="2BC63946">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家庭医生签约为基础，打通服务协同通道，规范分级诊疗秩序，支撑慢病管理闭环。</w:t>
      </w:r>
    </w:p>
    <w:p w14:paraId="7125CCA0">
      <w:pPr>
        <w:pStyle w:val="5"/>
        <w:bidi w:val="0"/>
        <w:rPr>
          <w:rFonts w:hint="eastAsia" w:ascii="宋体" w:hAnsi="宋体" w:eastAsia="宋体" w:cs="宋体"/>
          <w:lang w:val="en-US" w:eastAsia="zh-CN"/>
        </w:rPr>
      </w:pPr>
      <w:bookmarkStart w:id="61" w:name="_Toc15902"/>
      <w:r>
        <w:rPr>
          <w:rFonts w:hint="eastAsia" w:ascii="宋体" w:hAnsi="宋体" w:eastAsia="宋体" w:cs="宋体"/>
          <w:lang w:val="en-US" w:eastAsia="zh-CN"/>
        </w:rPr>
        <w:t>4.7.2.1高血压一体化管理</w:t>
      </w:r>
      <w:bookmarkEnd w:id="61"/>
    </w:p>
    <w:p w14:paraId="1A7489D7">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1）高血压患者登记卡管理功能：对于新确诊患者，支持新建登记卡，支持录入首次确诊信息、本次确诊信息。</w:t>
      </w:r>
    </w:p>
    <w:p w14:paraId="419D4986">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2）高血压档案功能：可查看患者的健康档案功能；</w:t>
      </w:r>
    </w:p>
    <w:p w14:paraId="4CBA1257">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3）医疗信息查阅：可以查阅患者在区域内的就诊记录，体检记录，检验/检查记录，也可查阅患者的血压、血糖、体重数值记录图表等综合信息。</w:t>
      </w:r>
    </w:p>
    <w:p w14:paraId="78C118F2">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4）一体化签约管理，可以进入该患者个人的工作台对签约患者进行管理。</w:t>
      </w:r>
    </w:p>
    <w:p w14:paraId="6D875D9C">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5）具有健康处方功能，在该模块对患者开具健康处方，支持饮食、运动、心理、中医、戒烟等健康处方模板。</w:t>
      </w:r>
    </w:p>
    <w:p w14:paraId="7611F24E">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6）具有随访功能，在该模块下能直接对患者进行随访管理。</w:t>
      </w:r>
    </w:p>
    <w:p w14:paraId="0ADE9B3D">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7）具有高血压患者工作台下的转诊功能，可对该患者进行上下级的转诊。</w:t>
      </w:r>
    </w:p>
    <w:p w14:paraId="6E0D637B">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8）具有高血压四分管理功能，实现患者的分片、分区、分级、分标管理。</w:t>
      </w:r>
    </w:p>
    <w:p w14:paraId="5909AD00">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9）高血压患者管理可实现与公共卫生系统的高血压确诊记录和随访记录同步。</w:t>
      </w:r>
    </w:p>
    <w:p w14:paraId="159469E9">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10）系统支持人群自动识别，支持人群分类筛选。</w:t>
      </w:r>
    </w:p>
    <w:p w14:paraId="4DA917F2">
      <w:pPr>
        <w:pStyle w:val="5"/>
        <w:bidi w:val="0"/>
        <w:rPr>
          <w:rFonts w:hint="eastAsia" w:ascii="宋体" w:hAnsi="宋体" w:eastAsia="宋体" w:cs="宋体"/>
          <w:lang w:val="en-US" w:eastAsia="zh-CN"/>
        </w:rPr>
      </w:pPr>
      <w:bookmarkStart w:id="62" w:name="_Toc16279"/>
      <w:r>
        <w:rPr>
          <w:rFonts w:hint="eastAsia" w:ascii="宋体" w:hAnsi="宋体" w:eastAsia="宋体" w:cs="宋体"/>
          <w:lang w:val="en-US" w:eastAsia="zh-CN"/>
        </w:rPr>
        <w:t>4.7.2.2糖尿病一体化管理</w:t>
      </w:r>
      <w:bookmarkEnd w:id="62"/>
    </w:p>
    <w:p w14:paraId="6FE114FB">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1）糖尿病患者登记卡管理功能：对于新确诊患者，支持新建登记卡，支持录入首次确诊信息、本次确诊信息。</w:t>
      </w:r>
    </w:p>
    <w:p w14:paraId="1A7E1282">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2）糖尿病档案功能：可查看患者的健康档案功能；</w:t>
      </w:r>
    </w:p>
    <w:p w14:paraId="2B173843">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3）医疗信息查阅：可以查阅患者在区域内的就诊记录，体检记录，检验/检查记录，也可查阅患者的血压、血糖、体重数值记录图表等综合信息。</w:t>
      </w:r>
    </w:p>
    <w:p w14:paraId="708C1B3F">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4）一体化签约管理，可以进入该患者个人的工作台对签约患者进行管理。</w:t>
      </w:r>
    </w:p>
    <w:p w14:paraId="7810F578">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5）具有健康处方功能，在该模块对患者开具健康处方，支持饮食、运动、心理、中医、戒烟等健康处方模板。</w:t>
      </w:r>
    </w:p>
    <w:p w14:paraId="0EF01626">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6）具有随访功能，在该模块下能直接对患者进行随访管理。</w:t>
      </w:r>
    </w:p>
    <w:p w14:paraId="0446483D">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7）具有糖尿病患者工作台下的转诊功能，可对该患者进行上下级的转诊。</w:t>
      </w:r>
    </w:p>
    <w:p w14:paraId="567BEDED">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8）具有糖尿病四分管理功能，实现患者的分片、分区、分级、分标管理。</w:t>
      </w:r>
    </w:p>
    <w:p w14:paraId="3B84AF2F">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9）糖尿病患者管理可实现与公共卫生系统的糖尿病确诊记录和随访记录同步。</w:t>
      </w:r>
    </w:p>
    <w:p w14:paraId="1A56E56F">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10）系统支持人群自动识别，支持人群分类筛选。</w:t>
      </w:r>
    </w:p>
    <w:p w14:paraId="22084A8C">
      <w:pPr>
        <w:pStyle w:val="5"/>
        <w:bidi w:val="0"/>
        <w:rPr>
          <w:rFonts w:hint="eastAsia" w:ascii="宋体" w:hAnsi="宋体" w:eastAsia="宋体" w:cs="宋体"/>
          <w:lang w:val="en-US" w:eastAsia="zh-CN"/>
        </w:rPr>
      </w:pPr>
      <w:bookmarkStart w:id="63" w:name="_Toc25550"/>
      <w:r>
        <w:rPr>
          <w:rFonts w:hint="eastAsia" w:ascii="宋体" w:hAnsi="宋体" w:eastAsia="宋体" w:cs="宋体"/>
          <w:lang w:val="en-US" w:eastAsia="zh-CN"/>
        </w:rPr>
        <w:t>4.7.2.3慢阻肺一体化管理</w:t>
      </w:r>
      <w:bookmarkEnd w:id="63"/>
    </w:p>
    <w:p w14:paraId="1C41DF8B">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1）慢阻肺患者登记卡管理功能：对于新确诊患者，支持新建登记卡，支持录入首次确诊信息、本次确诊信息。</w:t>
      </w:r>
    </w:p>
    <w:p w14:paraId="535A5B00">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2）慢阻肺档案功能：可查看患者的健康档案功能；</w:t>
      </w:r>
    </w:p>
    <w:p w14:paraId="62569DEE">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3）医疗信息查阅：可以查阅患者在区域内的就诊记录，体检记录，检验/检查记录，也可查阅患者的血压、血糖、体重数值记录图表等综合信息。</w:t>
      </w:r>
    </w:p>
    <w:p w14:paraId="44A13B63">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4）一体化签约管理，可以进入该患者个人的工作台对签约患者进行管理。</w:t>
      </w:r>
    </w:p>
    <w:p w14:paraId="6761D8D5">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5）具有健康处方功能，在该模块对患者开具健康处方，支持饮食、运动、心理、中医、戒烟等健康处方模板。</w:t>
      </w:r>
    </w:p>
    <w:p w14:paraId="2161BE3C">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6）具有随访功能，在该模块下能直接对患者进行随访管理。</w:t>
      </w:r>
    </w:p>
    <w:p w14:paraId="69C14876">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7）具有糖尿病患者工作台下的转诊功能，可对该患者进行上下级的转诊。</w:t>
      </w:r>
    </w:p>
    <w:p w14:paraId="61890236">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8）系统支持人群自动识别，支持人群分类筛选。</w:t>
      </w:r>
    </w:p>
    <w:p w14:paraId="456BC2CC">
      <w:pPr>
        <w:pStyle w:val="5"/>
        <w:bidi w:val="0"/>
        <w:rPr>
          <w:rFonts w:hint="eastAsia" w:ascii="宋体" w:hAnsi="宋体" w:eastAsia="宋体" w:cs="宋体"/>
          <w:lang w:val="en-US" w:eastAsia="zh-CN"/>
        </w:rPr>
      </w:pPr>
      <w:bookmarkStart w:id="64" w:name="_Toc8694"/>
      <w:r>
        <w:rPr>
          <w:rFonts w:hint="eastAsia" w:ascii="宋体" w:hAnsi="宋体" w:eastAsia="宋体" w:cs="宋体"/>
          <w:lang w:val="en-US" w:eastAsia="zh-CN"/>
        </w:rPr>
        <w:t>4.7.2.4冠心病一体化管理</w:t>
      </w:r>
      <w:bookmarkEnd w:id="64"/>
    </w:p>
    <w:p w14:paraId="53BC8066">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1）冠心病患者登记卡管理功能：对于新确诊患者，支持新建登记卡，支持录入首次确诊信息、本次确诊信息。</w:t>
      </w:r>
    </w:p>
    <w:p w14:paraId="654A5016">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2）冠心病档案功能：可查看患者的健康档案功能；</w:t>
      </w:r>
    </w:p>
    <w:p w14:paraId="35D7433D">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3）医疗信息查阅：可以查阅患者在区域内的就诊记录，体检记录，检验/检查记录，也可查阅患者的血压、血糖、体重数值记录图表等综合信息。</w:t>
      </w:r>
    </w:p>
    <w:p w14:paraId="280371C4">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4）一体化签约管理，可以进入该患者个人的工作台对签约患者进行管理。</w:t>
      </w:r>
    </w:p>
    <w:p w14:paraId="1C9D33E1">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5）具有健康处方功能，在该模块对患者开具健康处方，支持饮食、运动、心理、中医、戒烟等健康处方模板。</w:t>
      </w:r>
    </w:p>
    <w:p w14:paraId="4BAF7018">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6）具有随访功能，在该模块下能直接对患者进行随访管理。</w:t>
      </w:r>
    </w:p>
    <w:p w14:paraId="355DDD3E">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7）具有冠心病患者工作台下的转诊功能，可对该患者进行上下级的转诊。</w:t>
      </w:r>
    </w:p>
    <w:p w14:paraId="2EDA99F4">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8）系统支持人群自动识别，支持人群分类筛选。</w:t>
      </w:r>
    </w:p>
    <w:p w14:paraId="51CF6BB0">
      <w:pPr>
        <w:pStyle w:val="5"/>
        <w:bidi w:val="0"/>
        <w:rPr>
          <w:rFonts w:hint="eastAsia" w:ascii="宋体" w:hAnsi="宋体" w:eastAsia="宋体" w:cs="宋体"/>
          <w:lang w:val="en-US" w:eastAsia="zh-CN"/>
        </w:rPr>
      </w:pPr>
      <w:bookmarkStart w:id="65" w:name="_Toc14601"/>
      <w:r>
        <w:rPr>
          <w:rFonts w:hint="eastAsia" w:ascii="宋体" w:hAnsi="宋体" w:eastAsia="宋体" w:cs="宋体"/>
          <w:lang w:val="en-US" w:eastAsia="zh-CN"/>
        </w:rPr>
        <w:t>4.7.2.5脑卒中一体化管理</w:t>
      </w:r>
      <w:bookmarkEnd w:id="65"/>
    </w:p>
    <w:p w14:paraId="45A793EA">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1）脑卒中患者登记卡管理功能：对于新确诊患者，支持新建登记卡，支持录入首次确诊信息、本次确诊信息。</w:t>
      </w:r>
    </w:p>
    <w:p w14:paraId="6A4431E5">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2）脑卒中档案功能：可查看患者的健康档案功能；</w:t>
      </w:r>
    </w:p>
    <w:p w14:paraId="53653A36">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3）医疗信息查阅：可以查阅患者在区域内的就诊记录，体检记录，检验/检查记录，也可查阅患者的血压、血糖、体重数值记录图表等综合信息。</w:t>
      </w:r>
    </w:p>
    <w:p w14:paraId="4777F245">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4）一体化签约管理，可以进入该患者个人的工作台对签约患者进行管理。</w:t>
      </w:r>
    </w:p>
    <w:p w14:paraId="64AB9FEF">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5）具有健康处方功能，在该模块对患者开具健康处方，支持饮食、运动、心理、中医、戒烟等健康处方模板。</w:t>
      </w:r>
    </w:p>
    <w:p w14:paraId="7CF9AAB0">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6）具有随访功能，在该模块下能直接对患者进行随访管理。</w:t>
      </w:r>
    </w:p>
    <w:p w14:paraId="3ED9A6F7">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7）具有脑卒中患者工作台下的转诊功能，可对该患者进行上下级的转诊。</w:t>
      </w:r>
    </w:p>
    <w:p w14:paraId="230464BD">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8）系统支持人群自动识别，支持人群分类筛选。</w:t>
      </w:r>
    </w:p>
    <w:p w14:paraId="3053F5DE">
      <w:pPr>
        <w:pStyle w:val="5"/>
        <w:bidi w:val="0"/>
        <w:rPr>
          <w:rFonts w:hint="eastAsia" w:ascii="宋体" w:hAnsi="宋体" w:eastAsia="宋体" w:cs="宋体"/>
          <w:lang w:val="en-US" w:eastAsia="zh-CN"/>
        </w:rPr>
      </w:pPr>
      <w:bookmarkStart w:id="66" w:name="_Toc18777"/>
      <w:r>
        <w:rPr>
          <w:rFonts w:hint="eastAsia" w:ascii="宋体" w:hAnsi="宋体" w:eastAsia="宋体" w:cs="宋体"/>
          <w:lang w:val="en-US" w:eastAsia="zh-CN"/>
        </w:rPr>
        <w:t>4.7.2.6慢性肾病一体化管理</w:t>
      </w:r>
      <w:bookmarkEnd w:id="66"/>
    </w:p>
    <w:p w14:paraId="7EBFE68D">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1）慢性肾病患者登记卡管理功能：对于新确诊患者，支持新建登记卡，支持录入首次确诊信息、本次确诊信息。</w:t>
      </w:r>
    </w:p>
    <w:p w14:paraId="3D189F9E">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2）慢性肾病档案功能：可查看患者的健康档案功能；</w:t>
      </w:r>
    </w:p>
    <w:p w14:paraId="30822F88">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3）医疗信息查阅：可以查阅患者在区域内的就诊记录，体检记录，检验/检查记录，也可查阅患者的血压、血糖、体重数值记录图表等综合信息。</w:t>
      </w:r>
    </w:p>
    <w:p w14:paraId="5ABB1DAD">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4）一体化签约管理，可以进入该患者个人的工作台对签约患者进行管理。</w:t>
      </w:r>
    </w:p>
    <w:p w14:paraId="5936A0B3">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5）具有健康处方功能，在该模块对患者开具健康处方，支持饮食、运动、心理、中医、戒烟等健康处方模板。</w:t>
      </w:r>
    </w:p>
    <w:p w14:paraId="31018D57">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6）具有随访功能，在该模块下能直接对患者进行随访管理。</w:t>
      </w:r>
    </w:p>
    <w:p w14:paraId="41A17BB4">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7）具有慢性肾病患者工作台下的转诊功能，可对该患者进行上下级的转诊。</w:t>
      </w:r>
    </w:p>
    <w:p w14:paraId="423552F9">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8）系统支持人群自动识别，支持人群分类筛选。</w:t>
      </w:r>
    </w:p>
    <w:p w14:paraId="3D444252">
      <w:pPr>
        <w:pStyle w:val="3"/>
        <w:bidi w:val="0"/>
        <w:rPr>
          <w:rFonts w:hint="eastAsia" w:ascii="宋体" w:hAnsi="宋体" w:eastAsia="宋体" w:cs="宋体"/>
          <w:lang w:val="en-US" w:eastAsia="zh-CN"/>
        </w:rPr>
      </w:pPr>
      <w:bookmarkStart w:id="67" w:name="_Toc31037"/>
      <w:r>
        <w:rPr>
          <w:rFonts w:hint="eastAsia" w:ascii="宋体" w:hAnsi="宋体" w:eastAsia="宋体" w:cs="宋体"/>
          <w:lang w:val="en-US" w:eastAsia="zh-CN"/>
        </w:rPr>
        <w:t>4.8患者管理业务应用</w:t>
      </w:r>
      <w:bookmarkEnd w:id="67"/>
    </w:p>
    <w:p w14:paraId="238A75A1">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全人群的管理业务应用主要包含以下内容，并根据不同的角色业务功能需求进行差异化部署。</w:t>
      </w:r>
    </w:p>
    <w:p w14:paraId="755DCC05">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主要包含：分区分类分级分标管理、区域居民健康档案、区域居民分类筛选、全科医生工作站、专科医生工作站、居民个人工作台、积分卡管理工作台、人群标签管理、生命体征监测、医疗服务查询、待办事项、基本档案管理、健康画像、一体化签约、患病登记、健康随访、健康处方、双向转诊、转诊记录管理、健康宣教、健康监测管理等功能。</w:t>
      </w:r>
    </w:p>
    <w:p w14:paraId="1E73EF66">
      <w:pPr>
        <w:pStyle w:val="4"/>
        <w:bidi w:val="0"/>
        <w:rPr>
          <w:rFonts w:hint="eastAsia" w:ascii="宋体" w:hAnsi="宋体" w:eastAsia="宋体" w:cs="宋体"/>
          <w:lang w:val="en-US" w:eastAsia="zh-CN"/>
        </w:rPr>
      </w:pPr>
      <w:bookmarkStart w:id="68" w:name="_Toc25289"/>
      <w:r>
        <w:rPr>
          <w:rFonts w:hint="eastAsia" w:ascii="宋体" w:hAnsi="宋体" w:eastAsia="宋体" w:cs="宋体"/>
          <w:lang w:val="en-US" w:eastAsia="zh-CN"/>
        </w:rPr>
        <w:t>4.8.1分级分类分标管理</w:t>
      </w:r>
      <w:bookmarkEnd w:id="68"/>
    </w:p>
    <w:p w14:paraId="0EA4E0D0">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通过多级医疗机构联动协同建立辖区内的慢性病一体化管理体系实现不同病种的分级管理，形成县乡村三级共管网络；系统支持慢病开展分标定义，按照国家慢性病管理规范分为极高危组、一般高危组2个等级，并提供智能化分类分标管理。</w:t>
      </w:r>
    </w:p>
    <w:p w14:paraId="01421C64">
      <w:pPr>
        <w:pStyle w:val="4"/>
        <w:bidi w:val="0"/>
        <w:rPr>
          <w:rFonts w:hint="eastAsia" w:ascii="宋体" w:hAnsi="宋体" w:eastAsia="宋体" w:cs="宋体"/>
          <w:sz w:val="28"/>
          <w:szCs w:val="28"/>
          <w:lang w:val="en-US" w:eastAsia="zh-CN"/>
        </w:rPr>
      </w:pPr>
      <w:bookmarkStart w:id="69" w:name="_Toc10097"/>
      <w:r>
        <w:rPr>
          <w:rFonts w:hint="eastAsia" w:ascii="宋体" w:hAnsi="宋体" w:eastAsia="宋体" w:cs="宋体"/>
          <w:lang w:val="en-US" w:eastAsia="zh-CN"/>
        </w:rPr>
        <w:t>4.8.2</w:t>
      </w:r>
      <w:r>
        <w:rPr>
          <w:rFonts w:hint="eastAsia" w:ascii="宋体" w:hAnsi="宋体" w:eastAsia="宋体" w:cs="宋体"/>
          <w:sz w:val="28"/>
          <w:szCs w:val="28"/>
          <w:lang w:val="en-US" w:eastAsia="zh-CN"/>
        </w:rPr>
        <w:t>居民健康档案</w:t>
      </w:r>
      <w:bookmarkEnd w:id="69"/>
    </w:p>
    <w:p w14:paraId="5F57EA5B">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整合门诊、住院、体检记录等数据集，形成统一完整的患者档案记录。</w:t>
      </w:r>
    </w:p>
    <w:p w14:paraId="581FD9F3">
      <w:pPr>
        <w:pStyle w:val="4"/>
        <w:bidi w:val="0"/>
        <w:rPr>
          <w:rFonts w:hint="eastAsia" w:ascii="宋体" w:hAnsi="宋体" w:eastAsia="宋体" w:cs="宋体"/>
          <w:lang w:val="en-US" w:eastAsia="zh-CN"/>
        </w:rPr>
      </w:pPr>
      <w:bookmarkStart w:id="70" w:name="_Toc20162"/>
      <w:r>
        <w:rPr>
          <w:rFonts w:hint="eastAsia" w:ascii="宋体" w:hAnsi="宋体" w:eastAsia="宋体" w:cs="宋体"/>
          <w:lang w:val="en-US" w:eastAsia="zh-CN"/>
        </w:rPr>
        <w:t>4.8.3全科医生工作台</w:t>
      </w:r>
      <w:bookmarkEnd w:id="70"/>
    </w:p>
    <w:p w14:paraId="63F6E2B5">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（1）区域人口概况；</w:t>
      </w:r>
    </w:p>
    <w:p w14:paraId="7DF8EDE9">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（2）区域重点人群分布；</w:t>
      </w:r>
    </w:p>
    <w:p w14:paraId="025543E6">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（3）高血压和糖尿病控制满意率的功能；</w:t>
      </w:r>
    </w:p>
    <w:p w14:paraId="4D0BDBDB">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（4）提供医生待办事项提醒，包含随访、超期未随访、已过期签约、转诊待接收业务提醒；</w:t>
      </w:r>
    </w:p>
    <w:p w14:paraId="57BFF267">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（5）工作量统计，包含新增签约、慢病登记、随访、健康处方、上转诊业务统计，并支持医生团队一体化签约居民列表查看功能。</w:t>
      </w:r>
    </w:p>
    <w:p w14:paraId="39C7FE14">
      <w:pPr>
        <w:pStyle w:val="4"/>
        <w:bidi w:val="0"/>
        <w:rPr>
          <w:rFonts w:hint="eastAsia" w:ascii="宋体" w:hAnsi="宋体" w:eastAsia="宋体" w:cs="宋体"/>
          <w:lang w:val="en-US" w:eastAsia="zh-CN"/>
        </w:rPr>
      </w:pPr>
      <w:bookmarkStart w:id="71" w:name="_Toc19810"/>
      <w:r>
        <w:rPr>
          <w:rFonts w:hint="eastAsia" w:ascii="宋体" w:hAnsi="宋体" w:eastAsia="宋体" w:cs="宋体"/>
          <w:lang w:val="en-US" w:eastAsia="zh-CN"/>
        </w:rPr>
        <w:t>4.8.4专科医生工作台</w:t>
      </w:r>
      <w:bookmarkEnd w:id="71"/>
    </w:p>
    <w:p w14:paraId="5478E64A">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（1）一体化签约团队待办事项提醒，包含随访、已过期签约、转诊待接收业务内容提醒；</w:t>
      </w:r>
    </w:p>
    <w:p w14:paraId="7F3B8F28">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（2）今日工作量统计，包含新增签约、慢病登记、慢病随访、健康处方、下转诊业务；</w:t>
      </w:r>
    </w:p>
    <w:p w14:paraId="46EB7112">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（3）六类慢病随访统计，包含按月、季、半年、年及自定义时间段筛选，并提供高血压和糖尿病一体化控制满意率的统计分析展示功能。</w:t>
      </w:r>
    </w:p>
    <w:p w14:paraId="3DBD5BC1">
      <w:pPr>
        <w:pStyle w:val="4"/>
        <w:bidi w:val="0"/>
        <w:rPr>
          <w:rFonts w:hint="eastAsia" w:ascii="宋体" w:hAnsi="宋体" w:eastAsia="宋体" w:cs="宋体"/>
          <w:lang w:val="en-US" w:eastAsia="zh-CN"/>
        </w:rPr>
      </w:pPr>
      <w:bookmarkStart w:id="72" w:name="_Toc13950"/>
      <w:r>
        <w:rPr>
          <w:rFonts w:hint="eastAsia" w:ascii="宋体" w:hAnsi="宋体" w:eastAsia="宋体" w:cs="宋体"/>
          <w:lang w:val="en-US" w:eastAsia="zh-CN"/>
        </w:rPr>
        <w:t>4.8.5居民个人工作台</w:t>
      </w:r>
      <w:bookmarkEnd w:id="72"/>
    </w:p>
    <w:p w14:paraId="70AA1A9A">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个人健康状态展示与管理；包括查阅基本信息、当前健康状态、既往史、家族史、签约状态与在管医生、最新检测指标，并支持筛选和查看血压、血糖、体重变化。智能查阅区域内医疗服务记录（门诊、住院、健康体检、检查、检验数据）。</w:t>
      </w:r>
    </w:p>
    <w:p w14:paraId="5CC9A2B3">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 高危与确诊患者的慢病登记报卡。</w:t>
      </w:r>
    </w:p>
    <w:p w14:paraId="12C51F83">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（3）一体化签约管理，包含服务包设置、签约团队设置和签约期限等内容。</w:t>
      </w:r>
    </w:p>
    <w:p w14:paraId="00F9EE0C">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（4）县乡村三级双向转诊功能，包括转诊机构、转诊原因、初步诊断、申请机构、申请科室、申请医生信息。</w:t>
      </w:r>
    </w:p>
    <w:p w14:paraId="36998D7B">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（5）慢病高危随访管理，包含基础信息、随访情况和行为指导内容。</w:t>
      </w:r>
    </w:p>
    <w:p w14:paraId="447DFFA7">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30"/>
          <w:szCs w:val="30"/>
          <w:lang w:val="en-US" w:eastAsia="zh-CN"/>
        </w:rPr>
      </w:pPr>
      <w:r>
        <w:rPr>
          <w:rFonts w:hint="eastAsia" w:ascii="宋体" w:hAnsi="宋体" w:eastAsia="宋体" w:cs="宋体"/>
          <w:sz w:val="28"/>
          <w:szCs w:val="28"/>
          <w:lang w:val="en-US" w:eastAsia="zh-CN"/>
        </w:rPr>
        <w:t>（6）提供慢病随访管理，包含基础信息、体征指标、生活方式指导和用药随访，支持上次随访数据导入和患者随访用药、门诊用药信息一键导入。</w:t>
      </w:r>
    </w:p>
    <w:p w14:paraId="65811877">
      <w:pPr>
        <w:keepNext w:val="0"/>
        <w:keepLines w:val="0"/>
        <w:pageBreakBefore w:val="0"/>
        <w:widowControl w:val="0"/>
        <w:kinsoku/>
        <w:wordWrap/>
        <w:overflowPunct/>
        <w:topLinePunct w:val="0"/>
        <w:autoSpaceDE/>
        <w:autoSpaceDN/>
        <w:bidi w:val="0"/>
        <w:adjustRightInd/>
        <w:snapToGrid/>
        <w:spacing w:after="157" w:afterLines="50" w:line="360" w:lineRule="auto"/>
        <w:ind w:firstLine="643" w:firstLineChars="200"/>
        <w:textAlignment w:val="auto"/>
        <w:rPr>
          <w:rFonts w:hint="eastAsia" w:ascii="宋体" w:hAnsi="宋体" w:eastAsia="宋体" w:cs="宋体"/>
          <w:b/>
          <w:bCs/>
          <w:sz w:val="32"/>
          <w:szCs w:val="32"/>
          <w:lang w:val="en-US" w:eastAsia="zh-CN"/>
        </w:rPr>
      </w:pPr>
      <w:bookmarkStart w:id="73" w:name="_Toc17441"/>
      <w:r>
        <w:rPr>
          <w:rFonts w:hint="eastAsia" w:ascii="宋体" w:hAnsi="宋体" w:eastAsia="宋体" w:cs="宋体"/>
          <w:b/>
          <w:bCs/>
          <w:sz w:val="32"/>
          <w:szCs w:val="32"/>
          <w:lang w:val="en-US" w:eastAsia="zh-CN"/>
        </w:rPr>
        <w:t>4.8.6</w:t>
      </w:r>
      <w:bookmarkEnd w:id="73"/>
      <w:bookmarkStart w:id="74" w:name="_Toc6271"/>
      <w:r>
        <w:rPr>
          <w:rFonts w:hint="eastAsia" w:ascii="宋体" w:hAnsi="宋体" w:eastAsia="宋体" w:cs="宋体"/>
          <w:b/>
          <w:bCs/>
          <w:sz w:val="32"/>
          <w:szCs w:val="32"/>
          <w:lang w:val="en-US" w:eastAsia="zh-CN"/>
        </w:rPr>
        <w:t>人群标签管理</w:t>
      </w:r>
      <w:bookmarkEnd w:id="74"/>
    </w:p>
    <w:p w14:paraId="5615C67F">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可根据居民不同的健康状态为居民添加人群标签属性，包含慢性肾病、冠心病、高血压、糖尿病、慢阻肺、脑卒中、肿瘤、高血压高危人群、糖尿病高危人群、脑卒中高危人群、冠心病高危人群、慢阻肺高危人群、慢性肾病高危人群等，支持自定标签。</w:t>
      </w:r>
    </w:p>
    <w:p w14:paraId="72D37210">
      <w:pPr>
        <w:pStyle w:val="4"/>
        <w:bidi w:val="0"/>
        <w:rPr>
          <w:rFonts w:hint="eastAsia" w:ascii="宋体" w:hAnsi="宋体" w:eastAsia="宋体" w:cs="宋体"/>
          <w:lang w:val="en-US" w:eastAsia="zh-CN"/>
        </w:rPr>
      </w:pPr>
      <w:bookmarkStart w:id="75" w:name="_Toc23296"/>
      <w:r>
        <w:rPr>
          <w:rFonts w:hint="eastAsia" w:ascii="宋体" w:hAnsi="宋体" w:eastAsia="宋体" w:cs="宋体"/>
          <w:lang w:val="en-US" w:eastAsia="zh-CN"/>
        </w:rPr>
        <w:t>4.8.7患病登记</w:t>
      </w:r>
      <w:bookmarkEnd w:id="75"/>
    </w:p>
    <w:p w14:paraId="10E08745">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系统支持新建高危人群和患病患者的国家标准登记报卡，包括慢病高血压、糖尿病、慢阻肺、慢性肾衰、脑卒中、冠性病六大慢病病种等，为新发现的高危患者和新确诊的患者记录详细信息。</w:t>
      </w:r>
    </w:p>
    <w:p w14:paraId="07FACB8E">
      <w:pPr>
        <w:pStyle w:val="4"/>
        <w:bidi w:val="0"/>
        <w:rPr>
          <w:rFonts w:hint="eastAsia" w:ascii="宋体" w:hAnsi="宋体" w:eastAsia="宋体" w:cs="宋体"/>
          <w:lang w:val="en-US" w:eastAsia="zh-CN"/>
        </w:rPr>
      </w:pPr>
      <w:bookmarkStart w:id="76" w:name="_Toc28253"/>
      <w:r>
        <w:rPr>
          <w:rFonts w:hint="eastAsia" w:ascii="宋体" w:hAnsi="宋体" w:eastAsia="宋体" w:cs="宋体"/>
          <w:lang w:val="en-US" w:eastAsia="zh-CN"/>
        </w:rPr>
        <w:t>4.8.8一体化签约服务</w:t>
      </w:r>
      <w:bookmarkEnd w:id="76"/>
    </w:p>
    <w:p w14:paraId="429A61EB">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针对患者进行一体化签约，统一服务标准，规范服务内容，增加管理医生与患者的互动，通过对患者的日常管理、到期提醒、智能续约功能。</w:t>
      </w:r>
    </w:p>
    <w:p w14:paraId="51EF00B8">
      <w:pPr>
        <w:pStyle w:val="4"/>
        <w:bidi w:val="0"/>
        <w:rPr>
          <w:rFonts w:hint="eastAsia" w:ascii="宋体" w:hAnsi="宋体" w:eastAsia="宋体" w:cs="宋体"/>
          <w:lang w:val="en-US" w:eastAsia="zh-CN"/>
        </w:rPr>
      </w:pPr>
      <w:bookmarkStart w:id="77" w:name="_Toc5781"/>
      <w:r>
        <w:rPr>
          <w:rFonts w:hint="eastAsia" w:ascii="宋体" w:hAnsi="宋体" w:eastAsia="宋体" w:cs="宋体"/>
          <w:lang w:val="en-US" w:eastAsia="zh-CN"/>
        </w:rPr>
        <w:t>4.8.9智能随访</w:t>
      </w:r>
      <w:bookmarkEnd w:id="77"/>
    </w:p>
    <w:p w14:paraId="45CAA42A">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依据主要慢性病高危人群和患者分类结果以及健康管理的质量控制要求，实现定向智能化随访，随访记录过程中系统自动关联随访记录和用药记录数据；随访记录后可自动统计管理医生和管理人群的工作量数据统计；随访结果自动纳入患者个人健康档案和区域健康数据。</w:t>
      </w:r>
    </w:p>
    <w:p w14:paraId="015EEDCA">
      <w:pPr>
        <w:pStyle w:val="4"/>
        <w:bidi w:val="0"/>
        <w:rPr>
          <w:rFonts w:hint="eastAsia" w:ascii="宋体" w:hAnsi="宋体" w:eastAsia="宋体" w:cs="宋体"/>
          <w:lang w:val="en-US" w:eastAsia="zh-CN"/>
        </w:rPr>
      </w:pPr>
      <w:bookmarkStart w:id="78" w:name="_Toc24109"/>
      <w:r>
        <w:rPr>
          <w:rFonts w:hint="eastAsia" w:ascii="宋体" w:hAnsi="宋体" w:eastAsia="宋体" w:cs="宋体"/>
          <w:lang w:val="en-US" w:eastAsia="zh-CN"/>
        </w:rPr>
        <w:t>4.8.10县乡村三级转诊</w:t>
      </w:r>
      <w:bookmarkEnd w:id="78"/>
    </w:p>
    <w:p w14:paraId="49D94138">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系统具备县乡村三级双向转诊功能，可接收上级下转患者和上转管理不好的患者，支持转诊业务统计与分析，并包括转诊机构、转诊原因、初步诊断、申请机构、申请科室、申请医生等详细信息。</w:t>
      </w:r>
    </w:p>
    <w:p w14:paraId="55B1C712">
      <w:pPr>
        <w:pStyle w:val="4"/>
        <w:bidi w:val="0"/>
        <w:rPr>
          <w:rFonts w:hint="eastAsia" w:ascii="宋体" w:hAnsi="宋体" w:eastAsia="宋体" w:cs="宋体"/>
          <w:lang w:val="en-US" w:eastAsia="zh-CN"/>
        </w:rPr>
      </w:pPr>
      <w:bookmarkStart w:id="79" w:name="_Toc20758"/>
      <w:r>
        <w:rPr>
          <w:rFonts w:hint="eastAsia" w:ascii="宋体" w:hAnsi="宋体" w:eastAsia="宋体" w:cs="宋体"/>
          <w:lang w:val="en-US" w:eastAsia="zh-CN"/>
        </w:rPr>
        <w:t>4.8.11转诊记录管理</w:t>
      </w:r>
      <w:bookmarkEnd w:id="79"/>
    </w:p>
    <w:p w14:paraId="05551C3B">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有统计管理县、乡、村三级转诊情况，上转/下转记录管理等。</w:t>
      </w:r>
    </w:p>
    <w:p w14:paraId="2A03887A">
      <w:pPr>
        <w:pStyle w:val="4"/>
        <w:bidi w:val="0"/>
        <w:rPr>
          <w:rFonts w:hint="eastAsia" w:ascii="宋体" w:hAnsi="宋体" w:eastAsia="宋体" w:cs="宋体"/>
          <w:lang w:val="en-US" w:eastAsia="zh-CN"/>
        </w:rPr>
      </w:pPr>
      <w:bookmarkStart w:id="80" w:name="_Toc15355"/>
      <w:r>
        <w:rPr>
          <w:rFonts w:hint="eastAsia" w:ascii="宋体" w:hAnsi="宋体" w:eastAsia="宋体" w:cs="宋体"/>
          <w:lang w:val="en-US" w:eastAsia="zh-CN"/>
        </w:rPr>
        <w:t>4.8.12健康处方</w:t>
      </w:r>
      <w:bookmarkEnd w:id="80"/>
    </w:p>
    <w:p w14:paraId="4DC68373">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支持为需求居民开具健康处方，包括饮食、运动、心理、中医、用药、疫苗和戒烟等，配有健康处方库，支持分类标签筛选，医生可直接引入相关健康处方模板。</w:t>
      </w:r>
    </w:p>
    <w:p w14:paraId="7A2DD9A0">
      <w:pPr>
        <w:pStyle w:val="4"/>
        <w:bidi w:val="0"/>
        <w:rPr>
          <w:rFonts w:hint="eastAsia" w:ascii="宋体" w:hAnsi="宋体" w:eastAsia="宋体" w:cs="宋体"/>
          <w:lang w:val="en-US" w:eastAsia="zh-CN"/>
        </w:rPr>
      </w:pPr>
      <w:bookmarkStart w:id="81" w:name="_Toc3679"/>
      <w:r>
        <w:rPr>
          <w:rFonts w:hint="eastAsia" w:ascii="宋体" w:hAnsi="宋体" w:eastAsia="宋体" w:cs="宋体"/>
          <w:lang w:val="en-US" w:eastAsia="zh-CN"/>
        </w:rPr>
        <w:t>4.8.13健康宣教管理</w:t>
      </w:r>
      <w:bookmarkEnd w:id="81"/>
    </w:p>
    <w:p w14:paraId="1FFE17F5">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为全域各级医疗机构的全科医生与专科医生提供多样式、多维度的全民健康宣教端口，可为全域的不同人群提供不同类型宣教服务，内容与机制可结合医院的实际情况进行调整，从而高效助力全方面、多维度强化和提升居民的健康素养。</w:t>
      </w:r>
    </w:p>
    <w:p w14:paraId="39CC98DC">
      <w:pPr>
        <w:pStyle w:val="4"/>
        <w:bidi w:val="0"/>
        <w:rPr>
          <w:rFonts w:hint="eastAsia" w:ascii="宋体" w:hAnsi="宋体" w:eastAsia="宋体" w:cs="宋体"/>
          <w:lang w:val="en-US" w:eastAsia="zh-CN"/>
        </w:rPr>
      </w:pPr>
      <w:bookmarkStart w:id="82" w:name="_Toc1064"/>
      <w:r>
        <w:rPr>
          <w:rFonts w:hint="eastAsia" w:ascii="宋体" w:hAnsi="宋体" w:eastAsia="宋体" w:cs="宋体"/>
          <w:lang w:val="en-US" w:eastAsia="zh-CN"/>
        </w:rPr>
        <w:t>4.8.14健康监测管理</w:t>
      </w:r>
      <w:bookmarkEnd w:id="82"/>
    </w:p>
    <w:p w14:paraId="2789931E">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支持慢病患者居家血压监测干预、血糖监测干预、血压、血糖管理报告一键上传等。</w:t>
      </w:r>
    </w:p>
    <w:p w14:paraId="2B73D195">
      <w:pPr>
        <w:pStyle w:val="3"/>
        <w:bidi w:val="0"/>
        <w:rPr>
          <w:rFonts w:hint="eastAsia" w:ascii="宋体" w:hAnsi="宋体" w:eastAsia="宋体" w:cs="宋体"/>
          <w:lang w:val="en-US" w:eastAsia="zh-CN"/>
        </w:rPr>
      </w:pPr>
      <w:bookmarkStart w:id="83" w:name="_Toc32232"/>
      <w:bookmarkStart w:id="84" w:name="_Toc10593"/>
      <w:r>
        <w:rPr>
          <w:rFonts w:hint="eastAsia" w:ascii="宋体" w:hAnsi="宋体" w:eastAsia="宋体" w:cs="宋体"/>
          <w:lang w:val="en-US" w:eastAsia="zh-CN"/>
        </w:rPr>
        <w:t>4.9区域协同管理体系</w:t>
      </w:r>
      <w:bookmarkEnd w:id="83"/>
      <w:bookmarkEnd w:id="84"/>
    </w:p>
    <w:p w14:paraId="548B48FD">
      <w:pPr>
        <w:pStyle w:val="4"/>
        <w:bidi w:val="0"/>
        <w:rPr>
          <w:rFonts w:hint="eastAsia" w:ascii="宋体" w:hAnsi="宋体" w:eastAsia="宋体" w:cs="宋体"/>
          <w:lang w:val="en-US" w:eastAsia="zh-CN"/>
        </w:rPr>
      </w:pPr>
      <w:bookmarkStart w:id="85" w:name="_Toc32174"/>
      <w:r>
        <w:rPr>
          <w:rFonts w:hint="eastAsia" w:ascii="宋体" w:hAnsi="宋体" w:eastAsia="宋体" w:cs="宋体"/>
          <w:lang w:val="en-US" w:eastAsia="zh-CN"/>
        </w:rPr>
        <w:t>4.9.1一体化慢病协同管理</w:t>
      </w:r>
      <w:bookmarkEnd w:id="85"/>
    </w:p>
    <w:p w14:paraId="2E41DCF1">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b/>
          <w:bCs/>
          <w:sz w:val="28"/>
          <w:szCs w:val="28"/>
          <w:lang w:val="en-US" w:eastAsia="zh-CN"/>
        </w:rPr>
      </w:pPr>
      <w:r>
        <w:rPr>
          <w:rFonts w:hint="eastAsia" w:ascii="宋体" w:hAnsi="宋体" w:eastAsia="宋体" w:cs="宋体"/>
          <w:sz w:val="28"/>
          <w:szCs w:val="28"/>
          <w:lang w:val="en-US" w:eastAsia="zh-CN"/>
        </w:rPr>
        <w:t>实现医共体总医院、基层分院、村所一体化协同管理。</w:t>
      </w:r>
    </w:p>
    <w:p w14:paraId="466F795E">
      <w:pPr>
        <w:keepNext w:val="0"/>
        <w:keepLines w:val="0"/>
        <w:pageBreakBefore w:val="0"/>
        <w:widowControl w:val="0"/>
        <w:kinsoku/>
        <w:wordWrap/>
        <w:overflowPunct/>
        <w:topLinePunct w:val="0"/>
        <w:autoSpaceDE/>
        <w:autoSpaceDN/>
        <w:bidi w:val="0"/>
        <w:adjustRightInd/>
        <w:snapToGrid/>
        <w:spacing w:after="157" w:afterLines="50" w:line="360" w:lineRule="auto"/>
        <w:jc w:val="center"/>
        <w:textAlignment w:val="auto"/>
        <w:rPr>
          <w:rFonts w:hint="eastAsia" w:ascii="宋体" w:hAnsi="宋体" w:eastAsia="宋体" w:cs="宋体"/>
          <w:sz w:val="28"/>
          <w:szCs w:val="28"/>
          <w:lang w:val="en-US" w:eastAsia="zh-CN"/>
        </w:rPr>
      </w:pPr>
      <w:bookmarkStart w:id="126" w:name="_GoBack"/>
      <w:bookmarkEnd w:id="126"/>
    </w:p>
    <w:p w14:paraId="21CADCBD">
      <w:pPr>
        <w:pStyle w:val="4"/>
        <w:bidi w:val="0"/>
        <w:rPr>
          <w:rFonts w:hint="eastAsia" w:ascii="宋体" w:hAnsi="宋体" w:eastAsia="宋体" w:cs="宋体"/>
          <w:lang w:val="en-US" w:eastAsia="zh-CN"/>
        </w:rPr>
      </w:pPr>
      <w:bookmarkStart w:id="86" w:name="_Toc28106"/>
      <w:r>
        <w:rPr>
          <w:rFonts w:hint="eastAsia" w:ascii="宋体" w:hAnsi="宋体" w:eastAsia="宋体" w:cs="宋体"/>
          <w:lang w:val="en-US" w:eastAsia="zh-CN"/>
        </w:rPr>
        <w:t>4.9.2基层能力提升</w:t>
      </w:r>
      <w:bookmarkEnd w:id="86"/>
    </w:p>
    <w:p w14:paraId="00E61AFE">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基于医疗健康数据可信交换平台，实现设备、人、机构一体化健康管理，助力基层家医实现智能化健康服务及管理。</w:t>
      </w:r>
    </w:p>
    <w:p w14:paraId="06D374D9">
      <w:pPr>
        <w:pStyle w:val="4"/>
        <w:bidi w:val="0"/>
        <w:rPr>
          <w:rFonts w:hint="eastAsia" w:ascii="宋体" w:hAnsi="宋体" w:eastAsia="宋体" w:cs="宋体"/>
          <w:lang w:val="en-US" w:eastAsia="zh-CN"/>
        </w:rPr>
      </w:pPr>
      <w:bookmarkStart w:id="87" w:name="_Toc27549"/>
      <w:r>
        <w:rPr>
          <w:rFonts w:hint="eastAsia" w:ascii="宋体" w:hAnsi="宋体" w:eastAsia="宋体" w:cs="宋体"/>
          <w:lang w:val="en-US" w:eastAsia="zh-CN"/>
        </w:rPr>
        <w:t>4.9.3居民与医生端智能应用</w:t>
      </w:r>
      <w:bookmarkEnd w:id="87"/>
    </w:p>
    <w:p w14:paraId="006EC43D">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居民能够更加全面了解自己的健康状况，并获得及时、个性化的健康管理建议和服务，提高整体健康水平。</w:t>
      </w:r>
    </w:p>
    <w:p w14:paraId="3DC8A433">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医生个人工作台能够有效支持医生对患者的全面管理，提高诊疗和健康管理的效率。</w:t>
      </w:r>
    </w:p>
    <w:p w14:paraId="2228A772">
      <w:pPr>
        <w:pStyle w:val="3"/>
        <w:bidi w:val="0"/>
        <w:rPr>
          <w:rFonts w:hint="eastAsia" w:ascii="宋体" w:hAnsi="宋体" w:eastAsia="宋体" w:cs="宋体"/>
          <w:lang w:val="en-US" w:eastAsia="zh-CN"/>
        </w:rPr>
      </w:pPr>
      <w:bookmarkStart w:id="88" w:name="_Toc2082"/>
      <w:bookmarkStart w:id="89" w:name="_Toc5174"/>
      <w:r>
        <w:rPr>
          <w:rFonts w:hint="eastAsia" w:ascii="宋体" w:hAnsi="宋体" w:eastAsia="宋体" w:cs="宋体"/>
          <w:lang w:val="en-US" w:eastAsia="zh-CN"/>
        </w:rPr>
        <w:t>4.10 区域综合监管</w:t>
      </w:r>
      <w:bookmarkEnd w:id="88"/>
      <w:bookmarkEnd w:id="89"/>
    </w:p>
    <w:p w14:paraId="4B52217B">
      <w:pPr>
        <w:pStyle w:val="4"/>
        <w:bidi w:val="0"/>
        <w:rPr>
          <w:rFonts w:hint="eastAsia" w:ascii="宋体" w:hAnsi="宋体" w:eastAsia="宋体" w:cs="宋体"/>
          <w:lang w:val="en-US" w:eastAsia="zh-CN"/>
        </w:rPr>
      </w:pPr>
      <w:bookmarkStart w:id="90" w:name="_Toc12100"/>
      <w:r>
        <w:rPr>
          <w:rFonts w:hint="eastAsia" w:ascii="宋体" w:hAnsi="宋体" w:eastAsia="宋体" w:cs="宋体"/>
          <w:lang w:val="en-US" w:eastAsia="zh-CN"/>
        </w:rPr>
        <w:t>4.10.1综合统计分析</w:t>
      </w:r>
      <w:bookmarkEnd w:id="90"/>
    </w:p>
    <w:p w14:paraId="01458EE8">
      <w:pPr>
        <w:pStyle w:val="5"/>
        <w:bidi w:val="0"/>
        <w:rPr>
          <w:rFonts w:hint="eastAsia" w:ascii="宋体" w:hAnsi="宋体" w:eastAsia="宋体" w:cs="宋体"/>
          <w:lang w:val="en-US" w:eastAsia="zh-CN"/>
        </w:rPr>
      </w:pPr>
      <w:bookmarkStart w:id="91" w:name="_Toc18364"/>
      <w:bookmarkStart w:id="92" w:name="_Toc16000"/>
      <w:r>
        <w:rPr>
          <w:rFonts w:hint="eastAsia" w:ascii="宋体" w:hAnsi="宋体" w:eastAsia="宋体" w:cs="宋体"/>
          <w:lang w:val="en-US" w:eastAsia="zh-CN"/>
        </w:rPr>
        <w:t>4.10.1.1查询监控</w:t>
      </w:r>
      <w:bookmarkEnd w:id="91"/>
    </w:p>
    <w:p w14:paraId="296C99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提供查询服务支持，对区域慢病业务进行整体统计，为管理员人提供查询与监控支持，包含对不同人群、不同业务、不同指标等维度进行综合查询支持。</w:t>
      </w:r>
    </w:p>
    <w:p w14:paraId="3805921E">
      <w:pPr>
        <w:pStyle w:val="5"/>
        <w:bidi w:val="0"/>
        <w:rPr>
          <w:rFonts w:hint="eastAsia" w:ascii="宋体" w:hAnsi="宋体" w:eastAsia="宋体" w:cs="宋体"/>
          <w:lang w:val="en-US" w:eastAsia="zh-CN"/>
        </w:rPr>
      </w:pPr>
      <w:bookmarkStart w:id="93" w:name="_Toc2279"/>
      <w:r>
        <w:rPr>
          <w:rFonts w:hint="eastAsia" w:ascii="宋体" w:hAnsi="宋体" w:eastAsia="宋体" w:cs="宋体"/>
          <w:lang w:val="en-US" w:eastAsia="zh-CN"/>
        </w:rPr>
        <w:t>4.10.1.2统计分析</w:t>
      </w:r>
      <w:bookmarkEnd w:id="93"/>
    </w:p>
    <w:p w14:paraId="00840C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提供统计服务支持，对相关业务进行统计分析，包含对不同人群、不同业务、不同指标等维度进行统计分析支持。</w:t>
      </w:r>
    </w:p>
    <w:p w14:paraId="72932FFE">
      <w:pPr>
        <w:pStyle w:val="4"/>
        <w:bidi w:val="0"/>
        <w:rPr>
          <w:rFonts w:hint="eastAsia" w:ascii="宋体" w:hAnsi="宋体" w:eastAsia="宋体" w:cs="宋体"/>
          <w:lang w:val="en-US" w:eastAsia="zh-CN"/>
        </w:rPr>
      </w:pPr>
      <w:bookmarkStart w:id="94" w:name="_Toc18721"/>
      <w:r>
        <w:rPr>
          <w:rFonts w:hint="eastAsia" w:ascii="宋体" w:hAnsi="宋体" w:eastAsia="宋体" w:cs="宋体"/>
          <w:lang w:val="en-US" w:eastAsia="zh-CN"/>
        </w:rPr>
        <w:t>4.10.2区域绩效考核</w:t>
      </w:r>
      <w:bookmarkEnd w:id="94"/>
    </w:p>
    <w:p w14:paraId="1AC55746">
      <w:pPr>
        <w:pStyle w:val="5"/>
        <w:bidi w:val="0"/>
        <w:rPr>
          <w:rFonts w:hint="eastAsia" w:ascii="宋体" w:hAnsi="宋体" w:eastAsia="宋体" w:cs="宋体"/>
          <w:lang w:val="en-US" w:eastAsia="zh-CN"/>
        </w:rPr>
      </w:pPr>
      <w:bookmarkStart w:id="95" w:name="_Toc21237"/>
      <w:r>
        <w:rPr>
          <w:rFonts w:hint="eastAsia" w:ascii="宋体" w:hAnsi="宋体" w:eastAsia="宋体" w:cs="宋体"/>
          <w:lang w:val="en-US" w:eastAsia="zh-CN"/>
        </w:rPr>
        <w:t>4.10.2.1工作量统计</w:t>
      </w:r>
      <w:bookmarkEnd w:id="95"/>
    </w:p>
    <w:p w14:paraId="3D76F5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统计所有机构的显示所有机构的慢病高血压、糖尿病、慢阻肺、慢性肾病、脑卒中、冠性病六大慢病病种等病种的系统随访数量统计以及公共卫生系统的随访数量统计。系统一体化签约数量统计以及公共卫生系统家庭签约数量统计；根据区域质控指标，管理慢病的全部数据，签约、就诊、复诊、随访、检验检查等。</w:t>
      </w:r>
    </w:p>
    <w:p w14:paraId="60FCF5A8">
      <w:pPr>
        <w:pStyle w:val="5"/>
        <w:bidi w:val="0"/>
        <w:rPr>
          <w:rFonts w:hint="eastAsia" w:ascii="宋体" w:hAnsi="宋体" w:eastAsia="宋体" w:cs="宋体"/>
          <w:lang w:val="en-US" w:eastAsia="zh-CN"/>
        </w:rPr>
      </w:pPr>
      <w:bookmarkStart w:id="96" w:name="_Toc5345"/>
      <w:r>
        <w:rPr>
          <w:rFonts w:hint="eastAsia" w:ascii="宋体" w:hAnsi="宋体" w:eastAsia="宋体" w:cs="宋体"/>
          <w:lang w:val="en-US" w:eastAsia="zh-CN"/>
        </w:rPr>
        <w:t>4.10.2.2慢病统计</w:t>
      </w:r>
      <w:bookmarkEnd w:id="96"/>
    </w:p>
    <w:p w14:paraId="3E2FCA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统计患者用户的建档数据、高危人群、确诊人群、一体化签约人群、健康随访数据、双向转诊数据、健康处方数据、门诊复诊数据。</w:t>
      </w:r>
    </w:p>
    <w:p w14:paraId="075B68FB">
      <w:pPr>
        <w:pStyle w:val="5"/>
        <w:bidi w:val="0"/>
        <w:rPr>
          <w:rFonts w:hint="eastAsia" w:ascii="宋体" w:hAnsi="宋体" w:eastAsia="宋体" w:cs="宋体"/>
          <w:lang w:val="en-US" w:eastAsia="zh-CN"/>
        </w:rPr>
      </w:pPr>
      <w:bookmarkStart w:id="97" w:name="_Toc13336"/>
      <w:r>
        <w:rPr>
          <w:rFonts w:hint="eastAsia" w:ascii="宋体" w:hAnsi="宋体" w:eastAsia="宋体" w:cs="宋体"/>
          <w:lang w:val="en-US" w:eastAsia="zh-CN"/>
        </w:rPr>
        <w:t>4.10.2.3随访统计</w:t>
      </w:r>
      <w:bookmarkEnd w:id="97"/>
    </w:p>
    <w:p w14:paraId="0B9621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显示所有机构的显示所有机构的慢病高血压、糖尿病、慢阻肺、慢性肾衰、脑卒中、冠性病六大慢病病种的随访数据统计。</w:t>
      </w:r>
    </w:p>
    <w:p w14:paraId="03670B05">
      <w:pPr>
        <w:pStyle w:val="4"/>
        <w:bidi w:val="0"/>
        <w:rPr>
          <w:rFonts w:hint="eastAsia" w:ascii="宋体" w:hAnsi="宋体" w:eastAsia="宋体" w:cs="宋体"/>
          <w:lang w:val="en-US" w:eastAsia="zh-CN"/>
        </w:rPr>
      </w:pPr>
      <w:bookmarkStart w:id="98" w:name="_Toc24050"/>
      <w:r>
        <w:rPr>
          <w:rFonts w:hint="eastAsia" w:ascii="宋体" w:hAnsi="宋体" w:eastAsia="宋体" w:cs="宋体"/>
          <w:lang w:val="en-US" w:eastAsia="zh-CN"/>
        </w:rPr>
        <w:t>4.10.3六病管理任务下发与监管</w:t>
      </w:r>
      <w:bookmarkEnd w:id="98"/>
    </w:p>
    <w:p w14:paraId="5E6B6C31">
      <w:pPr>
        <w:pStyle w:val="5"/>
        <w:bidi w:val="0"/>
        <w:rPr>
          <w:rFonts w:hint="eastAsia" w:ascii="宋体" w:hAnsi="宋体" w:eastAsia="宋体" w:cs="宋体"/>
          <w:lang w:val="en-US" w:eastAsia="zh-CN"/>
        </w:rPr>
      </w:pPr>
      <w:bookmarkStart w:id="99" w:name="_Toc26261"/>
      <w:r>
        <w:rPr>
          <w:rFonts w:hint="eastAsia" w:ascii="宋体" w:hAnsi="宋体" w:eastAsia="宋体" w:cs="宋体"/>
          <w:lang w:val="en-US" w:eastAsia="zh-CN"/>
        </w:rPr>
        <w:t>4.10.3.1机构与医生管理任务派发管理</w:t>
      </w:r>
      <w:bookmarkEnd w:id="99"/>
    </w:p>
    <w:p w14:paraId="643733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业务管理部门或管理人员通过任务下发制定六病具体管理任务，包含时间区间选择、状态选择、各机构任务设置（支持多几个机构并发设置），包含机构名称、任务指标（接受管理的高血压患者总数、接受管理的糖尿病患者总数、接受管理的冠心病患者总数、接受管理的脑卒中患者总数、接受管理的慢阻肺患者总数、接受管理的高危人群总数、乡镇/社区向县医院上转的患者总数、乡镇/社区向县医院上转的高危人群总数、县医院向乡镇/社区下转的患者总数、县医院向乡镇/社区下转的高危人群总数）等内容。同时任务指标设置完成后将作为各机构的要求管理数，将在对应的工作台上显示。</w:t>
      </w:r>
    </w:p>
    <w:p w14:paraId="06A52DDA">
      <w:pPr>
        <w:pStyle w:val="5"/>
        <w:bidi w:val="0"/>
        <w:rPr>
          <w:rFonts w:hint="eastAsia" w:ascii="宋体" w:hAnsi="宋体" w:eastAsia="宋体" w:cs="宋体"/>
          <w:lang w:val="en-US" w:eastAsia="zh-CN"/>
        </w:rPr>
      </w:pPr>
      <w:bookmarkStart w:id="100" w:name="_Toc9221"/>
      <w:r>
        <w:rPr>
          <w:rFonts w:hint="eastAsia" w:ascii="宋体" w:hAnsi="宋体" w:eastAsia="宋体" w:cs="宋体"/>
          <w:lang w:val="en-US" w:eastAsia="zh-CN"/>
        </w:rPr>
        <w:t>4.10.3.2业务指标与质控数据监管</w:t>
      </w:r>
      <w:bookmarkEnd w:id="100"/>
    </w:p>
    <w:p w14:paraId="12760B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对区域内已经下发的六病管理任务进行指标与质控数据的监管，支持按照不同机构进行分类、分级筛选，呈现该机构慢病管理总数与转诊情况统计及覆盖率分析，包含慢病管理平台上管理的六病患者总数/签约数、 慢病管理平台上管理的六病高危人群总数/签约数、县医院向乡镇/社区下转的患者总数/要求管理数、县医院向乡镇/社区下转的高危人群总数/要求管理数、区域慢病质控数据等内容。</w:t>
      </w:r>
    </w:p>
    <w:p w14:paraId="62593C95">
      <w:pPr>
        <w:pStyle w:val="4"/>
        <w:bidi w:val="0"/>
        <w:rPr>
          <w:rFonts w:hint="eastAsia" w:ascii="宋体" w:hAnsi="宋体" w:eastAsia="宋体" w:cs="宋体"/>
          <w:lang w:val="en-US" w:eastAsia="zh-CN"/>
        </w:rPr>
      </w:pPr>
      <w:bookmarkStart w:id="101" w:name="_Toc26581"/>
      <w:r>
        <w:rPr>
          <w:rFonts w:hint="eastAsia" w:ascii="宋体" w:hAnsi="宋体" w:eastAsia="宋体" w:cs="宋体"/>
          <w:lang w:val="en-US" w:eastAsia="zh-CN"/>
        </w:rPr>
        <w:t>4.10.4区域居民健康积分配发与管理</w:t>
      </w:r>
      <w:bookmarkEnd w:id="101"/>
    </w:p>
    <w:p w14:paraId="4CFDDF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根据不同的积分卡类型，设定各类健康积分的积分规则与兑换规则，查阅每个居民的健康积分，同时可根据不用的兑换类型，查阅每个居民的兑换记录。</w:t>
      </w:r>
    </w:p>
    <w:p w14:paraId="4F85F94F">
      <w:pPr>
        <w:pStyle w:val="4"/>
        <w:bidi w:val="0"/>
        <w:rPr>
          <w:rFonts w:hint="eastAsia" w:ascii="宋体" w:hAnsi="宋体" w:eastAsia="宋体" w:cs="宋体"/>
          <w:lang w:val="en-US" w:eastAsia="zh-CN"/>
        </w:rPr>
      </w:pPr>
      <w:bookmarkStart w:id="102" w:name="_Toc24951"/>
      <w:r>
        <w:rPr>
          <w:rFonts w:hint="eastAsia" w:ascii="宋体" w:hAnsi="宋体" w:eastAsia="宋体" w:cs="宋体"/>
          <w:lang w:val="en-US" w:eastAsia="zh-CN"/>
        </w:rPr>
        <w:t>4.10.5健康医疗大数据可视化综合展示</w:t>
      </w:r>
      <w:bookmarkEnd w:id="102"/>
    </w:p>
    <w:p w14:paraId="66065FC5">
      <w:pPr>
        <w:pStyle w:val="5"/>
        <w:bidi w:val="0"/>
        <w:rPr>
          <w:rFonts w:hint="eastAsia" w:ascii="宋体" w:hAnsi="宋体" w:eastAsia="宋体" w:cs="宋体"/>
          <w:lang w:val="en-US" w:eastAsia="zh-CN"/>
        </w:rPr>
      </w:pPr>
      <w:bookmarkStart w:id="103" w:name="_Toc14607"/>
      <w:r>
        <w:rPr>
          <w:rFonts w:hint="eastAsia" w:ascii="宋体" w:hAnsi="宋体" w:eastAsia="宋体" w:cs="宋体"/>
          <w:lang w:val="en-US" w:eastAsia="zh-CN"/>
        </w:rPr>
        <w:t>4.10.5.1区域全民健康概况</w:t>
      </w:r>
      <w:bookmarkEnd w:id="103"/>
    </w:p>
    <w:p w14:paraId="0A55AC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慢病管理平台通过对全域居民的健康数据进行收集、汇总、分析与处理，构建全域居民健康大数据，利用“云计算、大数据”等技术，对的人口概况、居民发病情况、患者大病情况、健康管控情况、重点人群分布等内容进行综合分析与统计。</w:t>
      </w:r>
    </w:p>
    <w:p w14:paraId="24BBCC67">
      <w:pPr>
        <w:pStyle w:val="5"/>
        <w:bidi w:val="0"/>
        <w:rPr>
          <w:rFonts w:hint="eastAsia" w:ascii="宋体" w:hAnsi="宋体" w:eastAsia="宋体" w:cs="宋体"/>
          <w:lang w:val="en-US" w:eastAsia="zh-CN"/>
        </w:rPr>
      </w:pPr>
      <w:bookmarkStart w:id="104" w:name="_Toc27074"/>
      <w:r>
        <w:rPr>
          <w:rFonts w:hint="eastAsia" w:ascii="宋体" w:hAnsi="宋体" w:eastAsia="宋体" w:cs="宋体"/>
          <w:lang w:val="en-US" w:eastAsia="zh-CN"/>
        </w:rPr>
        <w:t>4.10.5.2区域疾病谱</w:t>
      </w:r>
      <w:bookmarkEnd w:id="104"/>
    </w:p>
    <w:p w14:paraId="763921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通过大数据技术和统计分析构建的疾病分布和发生情况的图谱。它能够展示在区域内，各种疾病的发病率、分布情况、趋势及相关性。</w:t>
      </w:r>
    </w:p>
    <w:p w14:paraId="6F9468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发病率统计：统计和分析区域内各种疾病的发病率。</w:t>
      </w:r>
    </w:p>
    <w:p w14:paraId="3ACBB9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地理分布：展示不同疾病在区域内的空间分布情况。</w:t>
      </w:r>
    </w:p>
    <w:p w14:paraId="6F5364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疾病与年龄：分析不同年龄段人群的疾病分布情况。</w:t>
      </w:r>
    </w:p>
    <w:p w14:paraId="73E7B9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疾病与性别：分析不同性别人群的疾病分布情况。</w:t>
      </w:r>
    </w:p>
    <w:p w14:paraId="447DE7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疾病与其他人口特征：结合职业、生活习惯等因素，分析疾病分布，提升健康干预的精准度。</w:t>
      </w:r>
    </w:p>
    <w:p w14:paraId="374792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时序趋势：通过时间序列数据，分析疾病的发生和变化趋势。</w:t>
      </w:r>
    </w:p>
    <w:p w14:paraId="5BA88F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多病种关联：分析不同疾病之间的关联情况，揭示共病现象和潜在的病因关系。</w:t>
      </w:r>
    </w:p>
    <w:p w14:paraId="6543D837">
      <w:pPr>
        <w:pStyle w:val="5"/>
        <w:bidi w:val="0"/>
        <w:rPr>
          <w:rFonts w:hint="eastAsia" w:ascii="宋体" w:hAnsi="宋体" w:eastAsia="宋体" w:cs="宋体"/>
          <w:lang w:val="en-US" w:eastAsia="zh-CN"/>
        </w:rPr>
      </w:pPr>
      <w:bookmarkStart w:id="105" w:name="_Toc25192"/>
      <w:r>
        <w:rPr>
          <w:rFonts w:hint="eastAsia" w:ascii="宋体" w:hAnsi="宋体" w:eastAsia="宋体" w:cs="宋体"/>
          <w:lang w:val="en-US" w:eastAsia="zh-CN"/>
        </w:rPr>
        <w:t>4.10.5.3区域发病情况</w:t>
      </w:r>
      <w:bookmarkEnd w:id="105"/>
    </w:p>
    <w:p w14:paraId="001B6F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包括：重点人群：展示高血压、糖尿病、冠心病、脑卒中、慢阻肺、慢性肾病的分布柱状图；全区月度一体化统计：展示高血压、糖尿病、冠心病、脑卒中、慢阻肺、慢性肾病一体化新增人数的柱状图；展示高血压、糖尿病、冠心病、脑卒中、慢阻肺、慢性肾病的慢病数据比例图。</w:t>
      </w:r>
    </w:p>
    <w:p w14:paraId="116EB6A0">
      <w:pPr>
        <w:pStyle w:val="5"/>
        <w:bidi w:val="0"/>
        <w:rPr>
          <w:rFonts w:hint="eastAsia" w:ascii="宋体" w:hAnsi="宋体" w:eastAsia="宋体" w:cs="宋体"/>
          <w:lang w:val="en-US" w:eastAsia="zh-CN"/>
        </w:rPr>
      </w:pPr>
      <w:bookmarkStart w:id="106" w:name="_Toc1190"/>
      <w:r>
        <w:rPr>
          <w:rFonts w:hint="eastAsia" w:ascii="宋体" w:hAnsi="宋体" w:eastAsia="宋体" w:cs="宋体"/>
          <w:lang w:val="en-US" w:eastAsia="zh-CN"/>
        </w:rPr>
        <w:t>4.10.5.4区域居民健康管控概况</w:t>
      </w:r>
      <w:bookmarkEnd w:id="106"/>
    </w:p>
    <w:p w14:paraId="6E62CD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主要包括高血压管控模块，高血压控制满意度，一体化总人数、控制不满意、控制满意、血压异常管理人数；糖尿病管控模块，糖尿病控制满意度，一体化总人数、控制不满意、控制满意、血糖异常管理人数；其他疾病如慢阻肺、冠心病、脑卒中人口变化等数据展示。</w:t>
      </w:r>
    </w:p>
    <w:p w14:paraId="3E60B823">
      <w:pPr>
        <w:pStyle w:val="4"/>
        <w:bidi w:val="0"/>
        <w:rPr>
          <w:rFonts w:hint="eastAsia" w:ascii="宋体" w:hAnsi="宋体" w:eastAsia="宋体" w:cs="宋体"/>
          <w:lang w:val="en-US" w:eastAsia="zh-CN"/>
        </w:rPr>
      </w:pPr>
      <w:bookmarkStart w:id="107" w:name="_Toc13326"/>
      <w:r>
        <w:rPr>
          <w:rFonts w:hint="eastAsia" w:ascii="宋体" w:hAnsi="宋体" w:eastAsia="宋体" w:cs="宋体"/>
          <w:lang w:val="en-US" w:eastAsia="zh-CN"/>
        </w:rPr>
        <w:t>4.10.6区域质控管理</w:t>
      </w:r>
      <w:bookmarkEnd w:id="107"/>
    </w:p>
    <w:p w14:paraId="177BC8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高效地进行区域慢病质控管理，提升慢病管理的效果和服务质量，顺利达标考核要求，提高区域内的整体健康水平。</w:t>
      </w:r>
    </w:p>
    <w:p w14:paraId="2B4FF5CA">
      <w:pPr>
        <w:pStyle w:val="5"/>
        <w:bidi w:val="0"/>
        <w:rPr>
          <w:rFonts w:hint="eastAsia" w:ascii="宋体" w:hAnsi="宋体" w:eastAsia="宋体" w:cs="宋体"/>
          <w:lang w:val="en-US" w:eastAsia="zh-CN"/>
        </w:rPr>
      </w:pPr>
      <w:bookmarkStart w:id="108" w:name="_Toc29532"/>
      <w:r>
        <w:rPr>
          <w:rFonts w:hint="eastAsia" w:ascii="宋体" w:hAnsi="宋体" w:eastAsia="宋体" w:cs="宋体"/>
          <w:lang w:val="en-US" w:eastAsia="zh-CN"/>
        </w:rPr>
        <w:t>4.10.6.1数据概览</w:t>
      </w:r>
      <w:bookmarkEnd w:id="108"/>
    </w:p>
    <w:p w14:paraId="0E41EB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包含综合筛查覆盖率、高危人群分类比率、慢病人群管理率、人群筛查管理率。</w:t>
      </w:r>
    </w:p>
    <w:p w14:paraId="32913C64">
      <w:pPr>
        <w:pStyle w:val="5"/>
        <w:bidi w:val="0"/>
        <w:rPr>
          <w:rFonts w:hint="eastAsia" w:ascii="宋体" w:hAnsi="宋体" w:eastAsia="宋体" w:cs="宋体"/>
          <w:lang w:val="en-US" w:eastAsia="zh-CN"/>
        </w:rPr>
      </w:pPr>
      <w:bookmarkStart w:id="109" w:name="_Toc23824"/>
      <w:r>
        <w:rPr>
          <w:rFonts w:hint="eastAsia" w:ascii="宋体" w:hAnsi="宋体" w:eastAsia="宋体" w:cs="宋体"/>
          <w:lang w:val="en-US" w:eastAsia="zh-CN"/>
        </w:rPr>
        <w:t>4.10.6.2高血压慢病质控数据</w:t>
      </w:r>
      <w:bookmarkEnd w:id="109"/>
    </w:p>
    <w:p w14:paraId="4FA124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包含高血压患者血压达标率、高血压患者血糖达标率、高血压患者血脂达标率、高血压患者就诊率、高血压患者复诊频次达标率、高血压复诊患者血生化检查率、高血压复诊患者尿常规检查率、高血压复诊患者尿白蛋白/肌酐检查率、高血压复诊患者血电解质检查率、高血压复诊患者同型半胱氨酸检查率、高血压复诊患者心电图检查率、高血压复诊患者超声心动检查率、高血压复诊患者颈动脉超声检查率、高血压复诊患者动态血压检查率。</w:t>
      </w:r>
    </w:p>
    <w:p w14:paraId="37473F6D">
      <w:pPr>
        <w:pStyle w:val="5"/>
        <w:bidi w:val="0"/>
        <w:rPr>
          <w:rFonts w:hint="eastAsia" w:ascii="宋体" w:hAnsi="宋体" w:eastAsia="宋体" w:cs="宋体"/>
          <w:lang w:val="en-US" w:eastAsia="zh-CN"/>
        </w:rPr>
      </w:pPr>
      <w:bookmarkStart w:id="110" w:name="_Toc14476"/>
      <w:r>
        <w:rPr>
          <w:rFonts w:hint="eastAsia" w:ascii="宋体" w:hAnsi="宋体" w:eastAsia="宋体" w:cs="宋体"/>
          <w:lang w:val="en-US" w:eastAsia="zh-CN"/>
        </w:rPr>
        <w:t>4.10.6.3糖尿病慢病质控数据</w:t>
      </w:r>
      <w:bookmarkEnd w:id="110"/>
    </w:p>
    <w:p w14:paraId="7D7F02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包含糖尿病患者血糖达标率、糖尿病患者血糖达标率糖尿病患者血压达标率、糖尿病患者血脂达标率、糖尿病患者就诊率、糖尿病患者复诊率、糖尿病复诊患者空腹血糖/餐后血糖检查率、糖尿病复诊患者糖化血红蛋白检杳率、糖尿病复诊患者血生化检查率、糖尿病复诊患者尿常规检查率、糖尿病复诊患者尿白蛋白/肌酐检查率、糖尿病复诊患者尿白蛋白/肌酐糖尿病复诊患者眼底检查率检查率。</w:t>
      </w:r>
    </w:p>
    <w:p w14:paraId="3FA48D3A">
      <w:pPr>
        <w:pStyle w:val="5"/>
        <w:bidi w:val="0"/>
        <w:rPr>
          <w:rFonts w:hint="eastAsia" w:ascii="宋体" w:hAnsi="宋体" w:eastAsia="宋体" w:cs="宋体"/>
          <w:lang w:val="en-US" w:eastAsia="zh-CN"/>
        </w:rPr>
      </w:pPr>
      <w:bookmarkStart w:id="111" w:name="_Toc28157"/>
      <w:r>
        <w:rPr>
          <w:rFonts w:hint="eastAsia" w:ascii="宋体" w:hAnsi="宋体" w:eastAsia="宋体" w:cs="宋体"/>
          <w:lang w:val="en-US" w:eastAsia="zh-CN"/>
        </w:rPr>
        <w:t>4.10.6.4冠心病慢病质控数据</w:t>
      </w:r>
      <w:bookmarkEnd w:id="111"/>
    </w:p>
    <w:p w14:paraId="52981B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包括冠心病患者复诊频次达标率、冠心病复诊患者血常规检查率、冠心病复诊患者血生化检查率、冠心病复诊患者心肌损伤标志物检查率、冠心病复诊患者心电图检查率、冠心病复诊患者超声心动检查率。</w:t>
      </w:r>
    </w:p>
    <w:p w14:paraId="5D8A7B36">
      <w:pPr>
        <w:pStyle w:val="5"/>
        <w:bidi w:val="0"/>
        <w:rPr>
          <w:rFonts w:hint="eastAsia" w:ascii="宋体" w:hAnsi="宋体" w:eastAsia="宋体" w:cs="宋体"/>
          <w:lang w:val="en-US" w:eastAsia="zh-CN"/>
        </w:rPr>
      </w:pPr>
      <w:bookmarkStart w:id="112" w:name="_Toc233"/>
      <w:r>
        <w:rPr>
          <w:rFonts w:hint="eastAsia" w:ascii="宋体" w:hAnsi="宋体" w:eastAsia="宋体" w:cs="宋体"/>
          <w:lang w:val="en-US" w:eastAsia="zh-CN"/>
        </w:rPr>
        <w:t>4.10.6.5脑卒中慢病质控数据</w:t>
      </w:r>
      <w:bookmarkEnd w:id="112"/>
    </w:p>
    <w:p w14:paraId="484F2E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包括脑卒中患者复诊频次达标率、脑卒中复诊患者血常规检查率、脑卒中复诊患者血生化检查率、脑卒中复诊患者凝血 4 项检查率、脑卒中复诊患者脑血管评估检查率。</w:t>
      </w:r>
    </w:p>
    <w:p w14:paraId="726714E0">
      <w:pPr>
        <w:pStyle w:val="5"/>
        <w:bidi w:val="0"/>
        <w:rPr>
          <w:rFonts w:hint="eastAsia" w:ascii="宋体" w:hAnsi="宋体" w:eastAsia="宋体" w:cs="宋体"/>
          <w:lang w:val="en-US" w:eastAsia="zh-CN"/>
        </w:rPr>
      </w:pPr>
      <w:bookmarkStart w:id="113" w:name="_Toc19867"/>
      <w:r>
        <w:rPr>
          <w:rFonts w:hint="eastAsia" w:ascii="宋体" w:hAnsi="宋体" w:eastAsia="宋体" w:cs="宋体"/>
          <w:lang w:val="en-US" w:eastAsia="zh-CN"/>
        </w:rPr>
        <w:t>4.10.6.6慢阻肺慢病质控数据</w:t>
      </w:r>
      <w:bookmarkEnd w:id="113"/>
    </w:p>
    <w:p w14:paraId="249266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包括慢性阻塞性肺疾病患者复诊频次达标率、慢性阻塞性肺疾病复诊患者肺功能检查率、慢性阻塞性肺疾病复诊患者 x线胸片检查率、慢性阻塞性肺疾病复诊患者胸部CT 检查率。</w:t>
      </w:r>
    </w:p>
    <w:p w14:paraId="17B64AAF">
      <w:pPr>
        <w:pStyle w:val="5"/>
        <w:bidi w:val="0"/>
        <w:rPr>
          <w:rFonts w:hint="eastAsia" w:ascii="宋体" w:hAnsi="宋体" w:eastAsia="宋体" w:cs="宋体"/>
          <w:lang w:val="en-US" w:eastAsia="zh-CN"/>
        </w:rPr>
      </w:pPr>
      <w:bookmarkStart w:id="114" w:name="_Toc14738"/>
      <w:r>
        <w:rPr>
          <w:rFonts w:hint="eastAsia" w:ascii="宋体" w:hAnsi="宋体" w:eastAsia="宋体" w:cs="宋体"/>
          <w:lang w:val="en-US" w:eastAsia="zh-CN"/>
        </w:rPr>
        <w:t>4.10.6.7慢性肾病慢病质控数据</w:t>
      </w:r>
      <w:bookmarkEnd w:id="114"/>
    </w:p>
    <w:p w14:paraId="28D193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包括慢性肾脏病复诊患者血常规检查率、慢性肾脏病复诊患者血生化检查率、慢性肾脏病复诊患者尿常规检查率、慢性肾脏病复诊患者泌尿系B超检查率。</w:t>
      </w:r>
    </w:p>
    <w:p w14:paraId="5AA82DA2">
      <w:pPr>
        <w:pStyle w:val="5"/>
        <w:bidi w:val="0"/>
        <w:rPr>
          <w:rFonts w:hint="eastAsia" w:ascii="宋体" w:hAnsi="宋体" w:eastAsia="宋体" w:cs="宋体"/>
          <w:lang w:val="en-US" w:eastAsia="zh-CN"/>
        </w:rPr>
      </w:pPr>
      <w:bookmarkStart w:id="115" w:name="_Toc6194"/>
      <w:r>
        <w:rPr>
          <w:rFonts w:hint="eastAsia" w:ascii="宋体" w:hAnsi="宋体" w:eastAsia="宋体" w:cs="宋体"/>
          <w:lang w:val="en-US" w:eastAsia="zh-CN"/>
        </w:rPr>
        <w:t>4.10.6.8区域双向转诊质控数据</w:t>
      </w:r>
      <w:bookmarkEnd w:id="115"/>
    </w:p>
    <w:p w14:paraId="6A930D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包括高血压稳定期患者下转率、糖尿病稳定期患者下转率、冠心病稳定期患者下转率、脑卒中稳定期患者下转率、其他主要慢性病稳定期患者下转率、慢性阻塞性肺疾病稳定期患者下转率、慢性肾脏病稳定期患者下转率、专病高危人群就诊率、脱落管理的患者就诊率。</w:t>
      </w:r>
    </w:p>
    <w:p w14:paraId="135DD1DA">
      <w:pPr>
        <w:pStyle w:val="4"/>
        <w:bidi w:val="0"/>
        <w:rPr>
          <w:rFonts w:hint="eastAsia" w:ascii="宋体" w:hAnsi="宋体" w:eastAsia="宋体" w:cs="宋体"/>
          <w:lang w:val="en-US" w:eastAsia="zh-CN"/>
        </w:rPr>
      </w:pPr>
      <w:bookmarkStart w:id="116" w:name="_Toc2741"/>
      <w:r>
        <w:rPr>
          <w:rFonts w:hint="eastAsia" w:ascii="宋体" w:hAnsi="宋体" w:eastAsia="宋体" w:cs="宋体"/>
          <w:lang w:val="en-US" w:eastAsia="zh-CN"/>
        </w:rPr>
        <w:t>4.10.3区域认证指标报表</w:t>
      </w:r>
      <w:bookmarkEnd w:id="116"/>
    </w:p>
    <w:p w14:paraId="6F44C0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基于区域慢病中心认证的指标生成相关报表，满足多类慢病的考核要求，并对相关指标数据进行智能提示（对标参考值）。</w:t>
      </w:r>
    </w:p>
    <w:p w14:paraId="5B7B512B">
      <w:pPr>
        <w:pStyle w:val="3"/>
        <w:bidi w:val="0"/>
        <w:rPr>
          <w:rFonts w:hint="eastAsia" w:ascii="宋体" w:hAnsi="宋体" w:eastAsia="宋体" w:cs="宋体"/>
          <w:lang w:val="en-US" w:eastAsia="zh-CN"/>
        </w:rPr>
      </w:pPr>
      <w:bookmarkStart w:id="117" w:name="_Toc26167"/>
      <w:r>
        <w:rPr>
          <w:rFonts w:hint="eastAsia" w:ascii="宋体" w:hAnsi="宋体" w:eastAsia="宋体" w:cs="宋体"/>
          <w:lang w:val="en-US" w:eastAsia="zh-CN"/>
        </w:rPr>
        <w:t>4.11业务运营服务</w:t>
      </w:r>
      <w:bookmarkEnd w:id="92"/>
      <w:bookmarkEnd w:id="117"/>
    </w:p>
    <w:p w14:paraId="4462A572">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val="en-US" w:eastAsia="zh-CN"/>
        </w:rPr>
        <w:t>提供专业运营人员，开展业务运营，开展普适化的公共卫生服务与慢病管理服务，开展精细化</w:t>
      </w:r>
      <w:r>
        <w:rPr>
          <w:rFonts w:hint="eastAsia" w:ascii="宋体" w:hAnsi="宋体" w:eastAsia="宋体" w:cs="宋体"/>
          <w:sz w:val="28"/>
          <w:szCs w:val="28"/>
          <w:lang w:val="en-US" w:eastAsia="zh-Hans"/>
        </w:rPr>
        <w:t>的慢病</w:t>
      </w:r>
      <w:r>
        <w:rPr>
          <w:rFonts w:hint="eastAsia" w:ascii="宋体" w:hAnsi="宋体" w:eastAsia="宋体" w:cs="宋体"/>
          <w:sz w:val="28"/>
          <w:szCs w:val="28"/>
          <w:lang w:val="en-US" w:eastAsia="zh-CN"/>
        </w:rPr>
        <w:t>管理服务</w:t>
      </w:r>
      <w:r>
        <w:rPr>
          <w:rFonts w:hint="eastAsia" w:ascii="宋体" w:hAnsi="宋体" w:eastAsia="宋体" w:cs="宋体"/>
          <w:sz w:val="28"/>
          <w:szCs w:val="28"/>
          <w:lang w:eastAsia="zh-CN"/>
        </w:rPr>
        <w:t>。</w:t>
      </w:r>
    </w:p>
    <w:p w14:paraId="55388F70">
      <w:pPr>
        <w:pStyle w:val="4"/>
        <w:bidi w:val="0"/>
        <w:rPr>
          <w:rFonts w:hint="eastAsia" w:ascii="宋体" w:hAnsi="宋体" w:eastAsia="宋体" w:cs="宋体"/>
          <w:lang w:val="en-US" w:eastAsia="zh-CN"/>
        </w:rPr>
      </w:pPr>
      <w:bookmarkStart w:id="118" w:name="_Toc24576"/>
      <w:bookmarkStart w:id="119" w:name="_Toc19121"/>
      <w:bookmarkStart w:id="120" w:name="_Toc881358237"/>
      <w:r>
        <w:rPr>
          <w:rFonts w:hint="eastAsia" w:ascii="宋体" w:hAnsi="宋体" w:eastAsia="宋体" w:cs="宋体"/>
          <w:lang w:val="en-US" w:eastAsia="zh-CN"/>
        </w:rPr>
        <w:t>4.11.1服务运营</w:t>
      </w:r>
      <w:bookmarkEnd w:id="118"/>
      <w:bookmarkEnd w:id="119"/>
      <w:bookmarkEnd w:id="120"/>
    </w:p>
    <w:p w14:paraId="682BB6C5">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专科体系设计：明确专科的定位和发展目标，指导专科的建设方向，制定专科发展路线图，分阶段实施，确保专科建设稳步推进。</w:t>
      </w:r>
    </w:p>
    <w:p w14:paraId="23063910">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服务机制与流程管理：建立科学合理的服务机制，优化患者就诊流程，提高诊疗效率。通过信息化手段实现服务流程的可视化管理，便于监控和优化。</w:t>
      </w:r>
    </w:p>
    <w:p w14:paraId="13716E86">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业务职责设计：明确各级医务人员的职责分工，制定责任评价体系，对各岗位人员的工作进行定期评价，制定责任评价体系，对各岗位人员的工作进行定期评价，根据责任评价结果，实施奖惩机制。</w:t>
      </w:r>
    </w:p>
    <w:p w14:paraId="26FE2B7D">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绩效考核机制设计：将各项工作指标量化，制定细化的绩效考核标准。定期对各岗位人员进行绩效考核，及时发现问题并进行反馈。</w:t>
      </w:r>
    </w:p>
    <w:p w14:paraId="135B280D">
      <w:pPr>
        <w:pStyle w:val="4"/>
        <w:bidi w:val="0"/>
        <w:rPr>
          <w:rFonts w:hint="eastAsia" w:ascii="宋体" w:hAnsi="宋体" w:eastAsia="宋体" w:cs="宋体"/>
          <w:lang w:val="en-US" w:eastAsia="zh-CN"/>
        </w:rPr>
      </w:pPr>
      <w:bookmarkStart w:id="121" w:name="_Toc1793175900"/>
      <w:bookmarkStart w:id="122" w:name="_Toc7526"/>
      <w:bookmarkStart w:id="123" w:name="_Toc19675"/>
      <w:r>
        <w:rPr>
          <w:rFonts w:hint="eastAsia" w:ascii="宋体" w:hAnsi="宋体" w:eastAsia="宋体" w:cs="宋体"/>
          <w:lang w:val="en-US" w:eastAsia="zh-CN"/>
        </w:rPr>
        <w:t>4.11.2用户运营</w:t>
      </w:r>
      <w:bookmarkEnd w:id="121"/>
      <w:bookmarkEnd w:id="122"/>
      <w:bookmarkEnd w:id="123"/>
    </w:p>
    <w:p w14:paraId="0BE02CF5">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专属运营人员配置和服务机制，有效提升医生及管理用户的工作效率和满意度，进而全面提升项目的整体运营水平和服务质量。</w:t>
      </w:r>
    </w:p>
    <w:p w14:paraId="1BDA1B99">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提供基于数据分析的改进建议，有行业专家提供专业指导。</w:t>
      </w:r>
    </w:p>
    <w:p w14:paraId="6A0FDFF6">
      <w:pPr>
        <w:pStyle w:val="2"/>
        <w:bidi w:val="0"/>
        <w:rPr>
          <w:rFonts w:hint="eastAsia" w:ascii="宋体" w:hAnsi="宋体" w:eastAsia="宋体" w:cs="宋体"/>
          <w:lang w:val="en-US" w:eastAsia="zh-CN"/>
        </w:rPr>
      </w:pPr>
      <w:bookmarkStart w:id="124" w:name="_Toc13796"/>
      <w:bookmarkStart w:id="125" w:name="_Toc14938"/>
      <w:r>
        <w:rPr>
          <w:rFonts w:hint="eastAsia" w:ascii="宋体" w:hAnsi="宋体" w:eastAsia="宋体" w:cs="宋体"/>
          <w:lang w:val="en-US" w:eastAsia="zh-CN"/>
        </w:rPr>
        <w:t>五、预期成效</w:t>
      </w:r>
      <w:bookmarkEnd w:id="124"/>
      <w:bookmarkEnd w:id="125"/>
    </w:p>
    <w:p w14:paraId="1A43CAD0">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本项目建设使</w:t>
      </w:r>
      <w:r>
        <w:rPr>
          <w:rFonts w:hint="eastAsia" w:ascii="宋体" w:hAnsi="宋体" w:eastAsia="宋体" w:cs="宋体"/>
          <w:sz w:val="28"/>
          <w:szCs w:val="28"/>
          <w:lang w:val="en-US" w:eastAsia="zh-Hans"/>
        </w:rPr>
        <w:t>区域的慢病</w:t>
      </w:r>
      <w:r>
        <w:rPr>
          <w:rFonts w:hint="eastAsia" w:ascii="宋体" w:hAnsi="宋体" w:eastAsia="宋体" w:cs="宋体"/>
          <w:sz w:val="28"/>
          <w:szCs w:val="28"/>
          <w:lang w:val="en-US" w:eastAsia="zh-CN"/>
        </w:rPr>
        <w:t>管理服务</w:t>
      </w:r>
      <w:r>
        <w:rPr>
          <w:rFonts w:hint="eastAsia" w:ascii="宋体" w:hAnsi="宋体" w:eastAsia="宋体" w:cs="宋体"/>
          <w:sz w:val="28"/>
          <w:szCs w:val="28"/>
          <w:lang w:val="en-US" w:eastAsia="zh-Hans"/>
        </w:rPr>
        <w:t>的质量和效率有非常大的改善</w:t>
      </w:r>
      <w:r>
        <w:rPr>
          <w:rFonts w:hint="eastAsia" w:ascii="宋体" w:hAnsi="宋体" w:eastAsia="宋体" w:cs="宋体"/>
          <w:sz w:val="28"/>
          <w:szCs w:val="28"/>
          <w:lang w:val="en-US" w:eastAsia="zh-CN"/>
        </w:rPr>
        <w:t>，</w:t>
      </w:r>
      <w:r>
        <w:rPr>
          <w:rFonts w:hint="eastAsia" w:ascii="宋体" w:hAnsi="宋体" w:eastAsia="宋体" w:cs="宋体"/>
          <w:sz w:val="28"/>
          <w:szCs w:val="28"/>
          <w:lang w:val="en-US" w:eastAsia="zh-Hans"/>
        </w:rPr>
        <w:t>百姓有获得感</w:t>
      </w:r>
      <w:r>
        <w:rPr>
          <w:rFonts w:hint="eastAsia" w:ascii="宋体" w:hAnsi="宋体" w:eastAsia="宋体" w:cs="宋体"/>
          <w:sz w:val="28"/>
          <w:szCs w:val="28"/>
          <w:lang w:eastAsia="zh-Hans"/>
        </w:rPr>
        <w:t>，</w:t>
      </w:r>
      <w:r>
        <w:rPr>
          <w:rFonts w:hint="eastAsia" w:ascii="宋体" w:hAnsi="宋体" w:eastAsia="宋体" w:cs="宋体"/>
          <w:sz w:val="28"/>
          <w:szCs w:val="28"/>
          <w:lang w:val="en-US" w:eastAsia="zh-CN"/>
        </w:rPr>
        <w:t>使患者合理有序留在本区就诊，更有效实施分级诊疗，更有利实现医保运行要安全、医院发展可持续、医务人员有动力、百姓健康得实惠的目标。</w:t>
      </w:r>
    </w:p>
    <w:p w14:paraId="482EE8BE">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1、提高公共卫生经费留存率。</w:t>
      </w:r>
    </w:p>
    <w:p w14:paraId="11979AFF">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2、达标千县工程慢病管理中心评审要求。</w:t>
      </w:r>
    </w:p>
    <w:p w14:paraId="6A023C73">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3、</w:t>
      </w:r>
      <w:r>
        <w:rPr>
          <w:rFonts w:hint="eastAsia" w:ascii="宋体" w:hAnsi="宋体" w:eastAsia="宋体" w:cs="宋体"/>
          <w:b w:val="0"/>
          <w:bCs w:val="0"/>
          <w:sz w:val="28"/>
          <w:szCs w:val="28"/>
          <w:lang w:val="en-US" w:eastAsia="zh-CN"/>
        </w:rPr>
        <w:t>全民健康水平提升</w:t>
      </w:r>
      <w:r>
        <w:rPr>
          <w:rFonts w:hint="eastAsia" w:ascii="宋体" w:hAnsi="宋体" w:eastAsia="宋体" w:cs="宋体"/>
          <w:b w:val="0"/>
          <w:bCs w:val="0"/>
          <w:sz w:val="28"/>
          <w:szCs w:val="28"/>
          <w:lang w:eastAsia="zh-CN"/>
        </w:rPr>
        <w:t>。</w:t>
      </w:r>
    </w:p>
    <w:p w14:paraId="374CF71B">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4</w:t>
      </w:r>
      <w:r>
        <w:rPr>
          <w:rFonts w:hint="eastAsia" w:ascii="宋体" w:hAnsi="宋体" w:eastAsia="宋体" w:cs="宋体"/>
          <w:b w:val="0"/>
          <w:bCs w:val="0"/>
          <w:sz w:val="28"/>
          <w:szCs w:val="28"/>
          <w:lang w:val="en-US" w:eastAsia="zh-CN"/>
        </w:rPr>
        <w:t>、实现县域区域就诊率增加</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医务人员合理收入增加</w:t>
      </w:r>
      <w:r>
        <w:rPr>
          <w:rFonts w:hint="eastAsia" w:ascii="宋体" w:hAnsi="宋体" w:eastAsia="宋体" w:cs="宋体"/>
          <w:b w:val="0"/>
          <w:bCs w:val="0"/>
          <w:sz w:val="28"/>
          <w:szCs w:val="28"/>
          <w:lang w:eastAsia="zh-CN"/>
        </w:rPr>
        <w:t>。</w:t>
      </w:r>
    </w:p>
    <w:p w14:paraId="724B2A0E">
      <w:pPr>
        <w:keepNext w:val="0"/>
        <w:keepLines w:val="0"/>
        <w:pageBreakBefore w:val="0"/>
        <w:widowControl w:val="0"/>
        <w:kinsoku/>
        <w:wordWrap/>
        <w:overflowPunct/>
        <w:topLinePunct w:val="0"/>
        <w:autoSpaceDE/>
        <w:autoSpaceDN/>
        <w:bidi w:val="0"/>
        <w:adjustRightInd/>
        <w:snapToGrid/>
        <w:spacing w:line="288" w:lineRule="auto"/>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eastAsia="zh-CN"/>
        </w:rPr>
        <w:t>5、</w:t>
      </w:r>
      <w:r>
        <w:rPr>
          <w:rFonts w:hint="eastAsia" w:ascii="宋体" w:hAnsi="宋体" w:eastAsia="宋体" w:cs="宋体"/>
          <w:b w:val="0"/>
          <w:bCs w:val="0"/>
          <w:sz w:val="28"/>
          <w:szCs w:val="28"/>
          <w:lang w:val="en-US" w:eastAsia="zh-CN"/>
        </w:rPr>
        <w:t>医保基金使用效能增加。</w:t>
      </w:r>
    </w:p>
    <w:p w14:paraId="18A0D8AF">
      <w:pPr>
        <w:rPr>
          <w:rFonts w:hint="eastAsia" w:ascii="宋体" w:hAnsi="宋体" w:eastAsia="宋体" w:cs="宋体"/>
          <w:b w:val="0"/>
          <w:bCs w:val="0"/>
        </w:rPr>
      </w:pPr>
      <w:r>
        <w:rPr>
          <w:rFonts w:hint="eastAsia" w:ascii="宋体" w:hAnsi="宋体" w:eastAsia="宋体" w:cs="宋体"/>
          <w:b w:val="0"/>
          <w:bCs w:val="0"/>
          <w:lang w:val="en-US" w:eastAsia="zh-CN"/>
        </w:rPr>
        <w:t xml:space="preserve">  </w:t>
      </w:r>
    </w:p>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Microsoft YaHei Regular">
    <w:altName w:val="宋体"/>
    <w:panose1 w:val="020B0503020204020204"/>
    <w:charset w:val="86"/>
    <w:family w:val="auto"/>
    <w:pitch w:val="default"/>
    <w:sig w:usb0="00000000" w:usb1="0000000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标准粗黑">
    <w:altName w:val="标准粗黑"/>
    <w:panose1 w:val="02000503000000000000"/>
    <w:charset w:val="86"/>
    <w:family w:val="auto"/>
    <w:pitch w:val="default"/>
    <w:sig w:usb0="8000002F" w:usb1="084164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2167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EC52D7">
                          <w:pPr>
                            <w:pStyle w:val="6"/>
                            <w:rPr>
                              <w:rFonts w:hint="eastAsia" w:ascii="Microsoft YaHei Regular" w:hAnsi="Microsoft YaHei Regular" w:eastAsia="Microsoft YaHei Regular" w:cs="Microsoft YaHei Regular"/>
                              <w:sz w:val="24"/>
                              <w:szCs w:val="40"/>
                            </w:rPr>
                          </w:pPr>
                          <w:r>
                            <w:rPr>
                              <w:rFonts w:hint="eastAsia" w:ascii="Microsoft YaHei Regular" w:hAnsi="Microsoft YaHei Regular" w:eastAsia="Microsoft YaHei Regular" w:cs="Microsoft YaHei Regular"/>
                              <w:sz w:val="24"/>
                              <w:szCs w:val="40"/>
                            </w:rPr>
                            <w:fldChar w:fldCharType="begin"/>
                          </w:r>
                          <w:r>
                            <w:rPr>
                              <w:rFonts w:hint="eastAsia" w:ascii="Microsoft YaHei Regular" w:hAnsi="Microsoft YaHei Regular" w:eastAsia="Microsoft YaHei Regular" w:cs="Microsoft YaHei Regular"/>
                              <w:sz w:val="24"/>
                              <w:szCs w:val="40"/>
                            </w:rPr>
                            <w:instrText xml:space="preserve"> PAGE  \* MERGEFORMAT </w:instrText>
                          </w:r>
                          <w:r>
                            <w:rPr>
                              <w:rFonts w:hint="eastAsia" w:ascii="Microsoft YaHei Regular" w:hAnsi="Microsoft YaHei Regular" w:eastAsia="Microsoft YaHei Regular" w:cs="Microsoft YaHei Regular"/>
                              <w:sz w:val="24"/>
                              <w:szCs w:val="40"/>
                            </w:rPr>
                            <w:fldChar w:fldCharType="separate"/>
                          </w:r>
                          <w:r>
                            <w:rPr>
                              <w:rFonts w:hint="eastAsia" w:ascii="Microsoft YaHei Regular" w:hAnsi="Microsoft YaHei Regular" w:eastAsia="Microsoft YaHei Regular" w:cs="Microsoft YaHei Regular"/>
                              <w:sz w:val="24"/>
                              <w:szCs w:val="40"/>
                            </w:rPr>
                            <w:t>1</w:t>
                          </w:r>
                          <w:r>
                            <w:rPr>
                              <w:rFonts w:hint="eastAsia" w:ascii="Microsoft YaHei Regular" w:hAnsi="Microsoft YaHei Regular" w:eastAsia="Microsoft YaHei Regular" w:cs="Microsoft YaHei Regular"/>
                              <w:sz w:val="24"/>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27EC52D7">
                    <w:pPr>
                      <w:pStyle w:val="6"/>
                      <w:rPr>
                        <w:rFonts w:hint="eastAsia" w:ascii="Microsoft YaHei Regular" w:hAnsi="Microsoft YaHei Regular" w:eastAsia="Microsoft YaHei Regular" w:cs="Microsoft YaHei Regular"/>
                        <w:sz w:val="24"/>
                        <w:szCs w:val="40"/>
                      </w:rPr>
                    </w:pPr>
                    <w:r>
                      <w:rPr>
                        <w:rFonts w:hint="eastAsia" w:ascii="Microsoft YaHei Regular" w:hAnsi="Microsoft YaHei Regular" w:eastAsia="Microsoft YaHei Regular" w:cs="Microsoft YaHei Regular"/>
                        <w:sz w:val="24"/>
                        <w:szCs w:val="40"/>
                      </w:rPr>
                      <w:fldChar w:fldCharType="begin"/>
                    </w:r>
                    <w:r>
                      <w:rPr>
                        <w:rFonts w:hint="eastAsia" w:ascii="Microsoft YaHei Regular" w:hAnsi="Microsoft YaHei Regular" w:eastAsia="Microsoft YaHei Regular" w:cs="Microsoft YaHei Regular"/>
                        <w:sz w:val="24"/>
                        <w:szCs w:val="40"/>
                      </w:rPr>
                      <w:instrText xml:space="preserve"> PAGE  \* MERGEFORMAT </w:instrText>
                    </w:r>
                    <w:r>
                      <w:rPr>
                        <w:rFonts w:hint="eastAsia" w:ascii="Microsoft YaHei Regular" w:hAnsi="Microsoft YaHei Regular" w:eastAsia="Microsoft YaHei Regular" w:cs="Microsoft YaHei Regular"/>
                        <w:sz w:val="24"/>
                        <w:szCs w:val="40"/>
                      </w:rPr>
                      <w:fldChar w:fldCharType="separate"/>
                    </w:r>
                    <w:r>
                      <w:rPr>
                        <w:rFonts w:hint="eastAsia" w:ascii="Microsoft YaHei Regular" w:hAnsi="Microsoft YaHei Regular" w:eastAsia="Microsoft YaHei Regular" w:cs="Microsoft YaHei Regular"/>
                        <w:sz w:val="24"/>
                        <w:szCs w:val="40"/>
                      </w:rPr>
                      <w:t>1</w:t>
                    </w:r>
                    <w:r>
                      <w:rPr>
                        <w:rFonts w:hint="eastAsia" w:ascii="Microsoft YaHei Regular" w:hAnsi="Microsoft YaHei Regular" w:eastAsia="Microsoft YaHei Regular" w:cs="Microsoft YaHei Regular"/>
                        <w:sz w:val="24"/>
                        <w:szCs w:val="40"/>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BD067">
    <w:pPr>
      <w:pStyle w:val="7"/>
      <w:pBdr>
        <w:bottom w:val="none" w:color="auto" w:sz="0" w:space="1"/>
      </w:pBdr>
      <w:jc w:val="right"/>
      <w:rPr>
        <w:rFonts w:hint="eastAsia" w:ascii="Microsoft YaHei Regular" w:hAnsi="Microsoft YaHei Regular" w:eastAsia="Microsoft YaHei Regular" w:cs="Microsoft YaHei Regular"/>
        <w:sz w:val="24"/>
        <w:szCs w:val="40"/>
        <w:lang w:val="en-US" w:eastAsia="zh-Hans"/>
      </w:rPr>
    </w:pPr>
  </w:p>
  <w:p w14:paraId="28BE3AAF">
    <w:pPr>
      <w:pStyle w:val="7"/>
      <w:pBdr>
        <w:bottom w:val="none" w:color="auto" w:sz="0" w:space="1"/>
      </w:pBdr>
      <w:jc w:val="both"/>
      <w:rPr>
        <w:rFonts w:hint="eastAsia" w:ascii="Microsoft YaHei Regular" w:hAnsi="Microsoft YaHei Regular" w:eastAsia="Microsoft YaHei Regular" w:cs="Microsoft YaHei Regular"/>
        <w:sz w:val="24"/>
        <w:szCs w:val="40"/>
        <w:lang w:val="en-US" w:eastAsia="zh-Han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FF12C3"/>
    <w:multiLevelType w:val="singleLevel"/>
    <w:tmpl w:val="53FF12C3"/>
    <w:lvl w:ilvl="0" w:tentative="0">
      <w:start w:val="1"/>
      <w:numFmt w:val="bullet"/>
      <w:lvlText w:val=""/>
      <w:lvlJc w:val="left"/>
      <w:pPr>
        <w:tabs>
          <w:tab w:val="left" w:pos="420"/>
        </w:tabs>
        <w:ind w:left="84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A319BA"/>
    <w:rsid w:val="2D6C49F4"/>
    <w:rsid w:val="51A55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asciiTheme="minorAscii" w:hAnsiTheme="minorAscii"/>
      <w:b/>
      <w:kern w:val="44"/>
      <w:sz w:val="28"/>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ind w:firstLine="420" w:firstLineChars="200"/>
      <w:outlineLvl w:val="1"/>
    </w:pPr>
    <w:rPr>
      <w:rFonts w:ascii="仿宋" w:hAnsi="仿宋" w:eastAsia="仿宋"/>
      <w:b/>
      <w:sz w:val="28"/>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ind w:firstLine="420" w:firstLineChars="200"/>
      <w:outlineLvl w:val="2"/>
    </w:pPr>
    <w:rPr>
      <w:rFonts w:ascii="仿宋" w:hAnsi="仿宋" w:eastAsia="仿宋"/>
      <w:b/>
      <w:sz w:val="28"/>
    </w:rPr>
  </w:style>
  <w:style w:type="paragraph" w:styleId="5">
    <w:name w:val="heading 4"/>
    <w:basedOn w:val="1"/>
    <w:next w:val="1"/>
    <w:unhideWhenUsed/>
    <w:qFormat/>
    <w:uiPriority w:val="0"/>
    <w:pPr>
      <w:spacing w:before="-2147483648" w:beforeAutospacing="1" w:after="244354020" w:afterAutospacing="1"/>
      <w:ind w:firstLine="584" w:firstLineChars="200"/>
      <w:jc w:val="left"/>
      <w:outlineLvl w:val="3"/>
    </w:pPr>
    <w:rPr>
      <w:rFonts w:hint="eastAsia" w:ascii="宋体" w:hAnsi="宋体" w:eastAsia="仿宋" w:cs="宋体"/>
      <w:b/>
      <w:bCs/>
      <w:kern w:val="0"/>
      <w:sz w:val="28"/>
      <w:lang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2649</Words>
  <Characters>2728</Characters>
  <Lines>0</Lines>
  <Paragraphs>0</Paragraphs>
  <TotalTime>11</TotalTime>
  <ScaleCrop>false</ScaleCrop>
  <LinksUpToDate>false</LinksUpToDate>
  <CharactersWithSpaces>2730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2025-03-26T02:14:56Z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eyJoZGlkIjoiZWQ1Zjc4OGU5MmUxNWQ1OTE5NzY3MmIzYjNmMjk0NjYiLCJ1c2VySWQiOiIzNzE1OTEyMjgifQ==</vt:lpwstr>
  </property>
  <property fmtid="{D5CDD505-2E9C-101B-9397-08002B2CF9AE}" pid="4" name="ICV">
    <vt:lpwstr>F6120C3EC9E14C97B5888881F3E1E46A_13</vt:lpwstr>
  </property>
</Properties>
</file>