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2003-2010___1.vsd" ContentType="application/vnd.visio"/>
  <Override PartName="/word/embeddings/Microsoft_Visio_2003-2010___2.vsd" ContentType="application/vnd.visio"/>
  <Override PartName="/word/embeddings/Microsoft_Visio_2003-2010___3.vsd" ContentType="application/vnd.visio"/>
  <Override PartName="/word/embeddings/Microsoft_Visio_2003-2010___4.vsd" ContentType="application/vnd.visio"/>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87AF89">
      <w:pPr>
        <w:spacing w:line="360" w:lineRule="auto"/>
        <w:rPr>
          <w:rFonts w:hint="eastAsia" w:cs="Arial" w:asciiTheme="minorEastAsia" w:hAnsiTheme="minorEastAsia"/>
          <w:b/>
          <w:sz w:val="72"/>
          <w:szCs w:val="72"/>
        </w:rPr>
      </w:pPr>
    </w:p>
    <w:p w14:paraId="7265FBF3">
      <w:pPr>
        <w:spacing w:line="360" w:lineRule="auto"/>
        <w:rPr>
          <w:rFonts w:hint="eastAsia" w:cs="Arial" w:asciiTheme="minorEastAsia" w:hAnsiTheme="minorEastAsia"/>
          <w:b/>
          <w:sz w:val="72"/>
          <w:szCs w:val="72"/>
        </w:rPr>
      </w:pPr>
    </w:p>
    <w:p w14:paraId="4D7F89AB">
      <w:pPr>
        <w:spacing w:line="360" w:lineRule="auto"/>
        <w:rPr>
          <w:rFonts w:hint="eastAsia" w:cs="Arial" w:asciiTheme="minorEastAsia" w:hAnsiTheme="minorEastAsia"/>
          <w:b/>
          <w:sz w:val="72"/>
          <w:szCs w:val="72"/>
        </w:rPr>
      </w:pPr>
    </w:p>
    <w:p w14:paraId="30D150A5">
      <w:pPr>
        <w:spacing w:line="360" w:lineRule="auto"/>
        <w:jc w:val="center"/>
        <w:rPr>
          <w:rFonts w:hint="eastAsia" w:cs="Arial" w:asciiTheme="minorEastAsia" w:hAnsiTheme="minorEastAsia" w:eastAsiaTheme="minorEastAsia"/>
          <w:b/>
          <w:sz w:val="72"/>
          <w:szCs w:val="72"/>
          <w:lang w:eastAsia="zh-CN"/>
        </w:rPr>
      </w:pPr>
      <w:r>
        <w:rPr>
          <w:rFonts w:hint="eastAsia" w:cs="Arial" w:asciiTheme="minorEastAsia" w:hAnsiTheme="minorEastAsia" w:eastAsiaTheme="minorEastAsia"/>
          <w:b/>
          <w:sz w:val="72"/>
          <w:szCs w:val="72"/>
          <w:lang w:eastAsia="zh-CN"/>
        </w:rPr>
        <w:drawing>
          <wp:inline distT="0" distB="0" distL="114300" distR="114300">
            <wp:extent cx="1676400" cy="1536700"/>
            <wp:effectExtent l="0" t="0" r="0" b="6350"/>
            <wp:docPr id="2" name="图片 2" descr="勐海医共体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勐海医共体2"/>
                    <pic:cNvPicPr>
                      <a:picLocks noChangeAspect="1"/>
                    </pic:cNvPicPr>
                  </pic:nvPicPr>
                  <pic:blipFill>
                    <a:blip r:embed="rId6"/>
                    <a:stretch>
                      <a:fillRect/>
                    </a:stretch>
                  </pic:blipFill>
                  <pic:spPr>
                    <a:xfrm>
                      <a:off x="0" y="0"/>
                      <a:ext cx="1676400" cy="1536700"/>
                    </a:xfrm>
                    <a:prstGeom prst="rect">
                      <a:avLst/>
                    </a:prstGeom>
                  </pic:spPr>
                </pic:pic>
              </a:graphicData>
            </a:graphic>
          </wp:inline>
        </w:drawing>
      </w:r>
    </w:p>
    <w:p w14:paraId="0BC29D7B">
      <w:pPr>
        <w:rPr>
          <w:rFonts w:hint="eastAsia"/>
        </w:rPr>
      </w:pPr>
    </w:p>
    <w:p w14:paraId="690F9684">
      <w:pPr>
        <w:spacing w:line="360" w:lineRule="auto"/>
        <w:jc w:val="center"/>
        <w:rPr>
          <w:rFonts w:hint="eastAsia" w:cs="Times New Roman" w:asciiTheme="minorEastAsia" w:hAnsiTheme="minorEastAsia"/>
          <w:szCs w:val="24"/>
        </w:rPr>
      </w:pPr>
      <w:bookmarkStart w:id="0" w:name="OLE_LINK5"/>
      <w:r>
        <w:rPr>
          <w:rFonts w:hint="eastAsia" w:cs="Arial" w:asciiTheme="minorEastAsia" w:hAnsiTheme="minorEastAsia"/>
          <w:b/>
          <w:sz w:val="56"/>
          <w:szCs w:val="72"/>
          <w:lang w:eastAsia="zh-CN"/>
        </w:rPr>
        <w:t>勐海县紧密型</w:t>
      </w:r>
      <w:r>
        <w:rPr>
          <w:rFonts w:hint="eastAsia" w:cs="Arial" w:asciiTheme="minorEastAsia" w:hAnsiTheme="minorEastAsia"/>
          <w:b/>
          <w:sz w:val="56"/>
          <w:szCs w:val="72"/>
        </w:rPr>
        <w:t>医共体</w:t>
      </w:r>
      <w:bookmarkStart w:id="114" w:name="_GoBack"/>
      <w:r>
        <w:rPr>
          <w:rFonts w:hint="eastAsia" w:cs="Arial" w:asciiTheme="minorEastAsia" w:hAnsiTheme="minorEastAsia"/>
          <w:b/>
          <w:sz w:val="56"/>
          <w:szCs w:val="72"/>
        </w:rPr>
        <w:t>合理用药管理平台建设</w:t>
      </w:r>
      <w:bookmarkEnd w:id="114"/>
      <w:r>
        <w:rPr>
          <w:rFonts w:hint="eastAsia" w:cs="Arial" w:asciiTheme="minorEastAsia" w:hAnsiTheme="minorEastAsia"/>
          <w:b/>
          <w:sz w:val="56"/>
          <w:szCs w:val="72"/>
        </w:rPr>
        <w:t>方案</w:t>
      </w:r>
    </w:p>
    <w:bookmarkEnd w:id="0"/>
    <w:p w14:paraId="160E3839">
      <w:pPr>
        <w:spacing w:line="360" w:lineRule="auto"/>
        <w:rPr>
          <w:rFonts w:hint="eastAsia" w:cs="Times New Roman" w:asciiTheme="minorEastAsia" w:hAnsiTheme="minorEastAsia"/>
          <w:szCs w:val="24"/>
        </w:rPr>
      </w:pPr>
    </w:p>
    <w:p w14:paraId="3A8F9642">
      <w:pPr>
        <w:spacing w:line="360" w:lineRule="auto"/>
        <w:rPr>
          <w:rFonts w:hint="eastAsia" w:cs="Times New Roman" w:asciiTheme="minorEastAsia" w:hAnsiTheme="minorEastAsia"/>
          <w:szCs w:val="24"/>
        </w:rPr>
      </w:pPr>
    </w:p>
    <w:p w14:paraId="31843A9E">
      <w:pPr>
        <w:spacing w:line="360" w:lineRule="auto"/>
        <w:rPr>
          <w:rFonts w:hint="eastAsia" w:cs="Times New Roman" w:asciiTheme="minorEastAsia" w:hAnsiTheme="minorEastAsia"/>
          <w:szCs w:val="24"/>
        </w:rPr>
      </w:pPr>
    </w:p>
    <w:p w14:paraId="38C994AB">
      <w:pPr>
        <w:spacing w:line="360" w:lineRule="auto"/>
        <w:rPr>
          <w:rFonts w:hint="eastAsia" w:cs="Times New Roman" w:asciiTheme="minorEastAsia" w:hAnsiTheme="minorEastAsia"/>
          <w:szCs w:val="24"/>
        </w:rPr>
      </w:pPr>
    </w:p>
    <w:p w14:paraId="285932B9">
      <w:pPr>
        <w:spacing w:line="360" w:lineRule="auto"/>
        <w:rPr>
          <w:rFonts w:hint="eastAsia" w:cs="Times New Roman" w:asciiTheme="minorEastAsia" w:hAnsiTheme="minorEastAsia"/>
          <w:szCs w:val="24"/>
        </w:rPr>
      </w:pPr>
    </w:p>
    <w:p w14:paraId="00FBAB71">
      <w:pPr>
        <w:spacing w:line="360" w:lineRule="auto"/>
        <w:rPr>
          <w:rFonts w:hint="eastAsia" w:cs="Times New Roman" w:asciiTheme="minorEastAsia" w:hAnsiTheme="minorEastAsia"/>
          <w:szCs w:val="24"/>
        </w:rPr>
      </w:pPr>
    </w:p>
    <w:p w14:paraId="51ECC56C">
      <w:pPr>
        <w:spacing w:line="360" w:lineRule="auto"/>
        <w:rPr>
          <w:rFonts w:hint="eastAsia" w:cs="Times New Roman" w:asciiTheme="minorEastAsia" w:hAnsiTheme="minorEastAsia"/>
          <w:szCs w:val="24"/>
        </w:rPr>
      </w:pPr>
    </w:p>
    <w:p w14:paraId="7FF59499">
      <w:pPr>
        <w:spacing w:line="360" w:lineRule="auto"/>
        <w:ind w:firstLine="640" w:firstLineChars="200"/>
        <w:jc w:val="both"/>
        <w:rPr>
          <w:rFonts w:hint="eastAsia" w:ascii="宋体" w:hAnsi="宋体" w:eastAsia="宋体" w:cs="宋体"/>
          <w:sz w:val="32"/>
          <w:szCs w:val="32"/>
          <w:lang w:val="en-US" w:eastAsia="zh-CN"/>
        </w:rPr>
      </w:pPr>
      <w:r>
        <w:rPr>
          <w:rFonts w:hint="eastAsia" w:ascii="宋体" w:hAnsi="宋体" w:eastAsia="宋体" w:cs="宋体"/>
          <w:sz w:val="32"/>
          <w:szCs w:val="32"/>
        </w:rPr>
        <w:t>项目名称：</w:t>
      </w:r>
      <w:r>
        <w:rPr>
          <w:rFonts w:hint="eastAsia" w:ascii="宋体" w:hAnsi="宋体" w:eastAsia="宋体" w:cs="宋体"/>
          <w:sz w:val="32"/>
          <w:szCs w:val="32"/>
          <w:lang w:eastAsia="zh-CN"/>
        </w:rPr>
        <w:t>勐海</w:t>
      </w:r>
      <w:r>
        <w:rPr>
          <w:rFonts w:hint="eastAsia" w:ascii="宋体" w:hAnsi="宋体" w:eastAsia="宋体" w:cs="宋体"/>
          <w:sz w:val="32"/>
          <w:szCs w:val="32"/>
        </w:rPr>
        <w:t>县</w:t>
      </w:r>
      <w:r>
        <w:rPr>
          <w:rFonts w:hint="eastAsia" w:ascii="宋体" w:hAnsi="宋体" w:eastAsia="宋体" w:cs="宋体"/>
          <w:sz w:val="32"/>
          <w:szCs w:val="32"/>
          <w:lang w:eastAsia="zh-CN"/>
        </w:rPr>
        <w:t>紧密型</w:t>
      </w:r>
      <w:r>
        <w:rPr>
          <w:rFonts w:hint="eastAsia" w:ascii="宋体" w:hAnsi="宋体" w:eastAsia="宋体" w:cs="宋体"/>
          <w:sz w:val="32"/>
          <w:szCs w:val="32"/>
        </w:rPr>
        <w:t>医共体合理用药管理平台</w:t>
      </w:r>
      <w:r>
        <w:rPr>
          <w:rFonts w:hint="eastAsia" w:ascii="宋体" w:hAnsi="宋体" w:eastAsia="宋体" w:cs="宋体"/>
          <w:sz w:val="32"/>
          <w:szCs w:val="32"/>
          <w:lang w:val="en-US" w:eastAsia="zh-CN"/>
        </w:rPr>
        <w:t>项目</w:t>
      </w:r>
    </w:p>
    <w:p w14:paraId="768A739A">
      <w:pPr>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rPr>
        <w:t>编制单位：</w:t>
      </w:r>
      <w:r>
        <w:rPr>
          <w:rFonts w:hint="eastAsia" w:ascii="宋体" w:hAnsi="宋体" w:eastAsia="宋体" w:cs="宋体"/>
          <w:sz w:val="32"/>
          <w:szCs w:val="32"/>
          <w:lang w:val="en-US" w:eastAsia="zh-CN"/>
        </w:rPr>
        <w:t>勐海县人民医院</w:t>
      </w:r>
    </w:p>
    <w:p w14:paraId="7AA6CAED">
      <w:pPr>
        <w:ind w:firstLine="640" w:firstLineChars="200"/>
        <w:rPr>
          <w:rFonts w:hint="eastAsia" w:ascii="宋体" w:hAnsi="宋体" w:eastAsia="宋体" w:cs="宋体"/>
          <w:sz w:val="32"/>
          <w:szCs w:val="32"/>
        </w:rPr>
      </w:pPr>
      <w:r>
        <w:rPr>
          <w:rFonts w:hint="eastAsia" w:ascii="宋体" w:hAnsi="宋体" w:eastAsia="宋体" w:cs="宋体"/>
          <w:sz w:val="32"/>
          <w:szCs w:val="32"/>
        </w:rPr>
        <w:t>编制日期：2025年3月</w:t>
      </w:r>
    </w:p>
    <w:p w14:paraId="1573B6AF">
      <w:pPr>
        <w:spacing w:line="360" w:lineRule="auto"/>
        <w:rPr>
          <w:rFonts w:hint="eastAsia" w:cs="Times New Roman" w:asciiTheme="minorEastAsia" w:hAnsiTheme="minorEastAsia"/>
          <w:szCs w:val="24"/>
        </w:rPr>
      </w:pPr>
    </w:p>
    <w:p w14:paraId="609FB8A6">
      <w:pPr>
        <w:spacing w:line="360" w:lineRule="auto"/>
        <w:rPr>
          <w:rFonts w:hint="eastAsia" w:cs="Times New Roman" w:asciiTheme="minorEastAsia" w:hAnsiTheme="minorEastAsia"/>
          <w:szCs w:val="24"/>
        </w:rPr>
      </w:pPr>
    </w:p>
    <w:p w14:paraId="6733768A">
      <w:pPr>
        <w:rPr>
          <w:rFonts w:asciiTheme="minorEastAsia" w:hAnsiTheme="minorEastAsia"/>
          <w:kern w:val="28"/>
        </w:rPr>
      </w:pPr>
      <w:r>
        <w:rPr>
          <w:rFonts w:asciiTheme="minorEastAsia" w:hAnsiTheme="minorEastAsia"/>
          <w:kern w:val="28"/>
        </w:rPr>
        <w:br w:type="page"/>
      </w:r>
    </w:p>
    <w:p w14:paraId="1EC8BE97">
      <w:pPr>
        <w:pStyle w:val="2"/>
        <w:spacing w:line="360" w:lineRule="auto"/>
        <w:jc w:val="center"/>
        <w:rPr>
          <w:rFonts w:hint="eastAsia" w:asciiTheme="minorEastAsia" w:hAnsiTheme="minorEastAsia"/>
          <w:kern w:val="28"/>
        </w:rPr>
      </w:pPr>
      <w:r>
        <w:rPr>
          <w:rFonts w:asciiTheme="minorEastAsia" w:hAnsiTheme="minorEastAsia"/>
          <w:kern w:val="28"/>
        </w:rPr>
        <w:t xml:space="preserve">第一部分   </w:t>
      </w:r>
      <w:r>
        <w:rPr>
          <w:rFonts w:hint="eastAsia" w:asciiTheme="minorEastAsia" w:hAnsiTheme="minorEastAsia"/>
          <w:kern w:val="28"/>
        </w:rPr>
        <w:t>概述</w:t>
      </w:r>
    </w:p>
    <w:p w14:paraId="2F37E671">
      <w:pPr>
        <w:pStyle w:val="3"/>
        <w:numPr>
          <w:ilvl w:val="0"/>
          <w:numId w:val="2"/>
        </w:numPr>
        <w:spacing w:line="360" w:lineRule="auto"/>
        <w:rPr>
          <w:rFonts w:hint="eastAsia" w:cs="Arial" w:asciiTheme="minorEastAsia" w:hAnsiTheme="minorEastAsia" w:eastAsiaTheme="minorEastAsia"/>
          <w:kern w:val="44"/>
          <w:szCs w:val="44"/>
        </w:rPr>
      </w:pPr>
      <w:r>
        <w:rPr>
          <w:rFonts w:hint="eastAsia" w:cs="Arial" w:asciiTheme="minorEastAsia" w:hAnsiTheme="minorEastAsia" w:eastAsiaTheme="minorEastAsia"/>
          <w:kern w:val="44"/>
          <w:szCs w:val="44"/>
        </w:rPr>
        <w:t>项目名称</w:t>
      </w:r>
    </w:p>
    <w:p w14:paraId="3F8C3D6B">
      <w:pPr>
        <w:pStyle w:val="3"/>
        <w:numPr>
          <w:numId w:val="0"/>
        </w:numPr>
        <w:spacing w:line="360" w:lineRule="auto"/>
        <w:ind w:leftChars="0"/>
        <w:rPr>
          <w:rFonts w:hint="eastAsia" w:asciiTheme="minorEastAsia" w:hAnsiTheme="minorEastAsia" w:eastAsiaTheme="minorEastAsia" w:cstheme="minorBidi"/>
          <w:b w:val="0"/>
          <w:bCs w:val="0"/>
          <w:kern w:val="2"/>
          <w:sz w:val="24"/>
          <w:szCs w:val="22"/>
          <w:lang w:val="en-US" w:eastAsia="zh-CN" w:bidi="ar-SA"/>
        </w:rPr>
      </w:pPr>
      <w:r>
        <w:rPr>
          <w:rFonts w:hint="eastAsia" w:asciiTheme="minorEastAsia" w:hAnsiTheme="minorEastAsia" w:eastAsiaTheme="minorEastAsia" w:cstheme="minorBidi"/>
          <w:b w:val="0"/>
          <w:bCs w:val="0"/>
          <w:kern w:val="2"/>
          <w:sz w:val="24"/>
          <w:szCs w:val="22"/>
          <w:lang w:val="en-US" w:eastAsia="zh-CN" w:bidi="ar-SA"/>
        </w:rPr>
        <w:t>勐海县紧密型医共体合理用药管理平台项目</w:t>
      </w:r>
    </w:p>
    <w:p w14:paraId="06C934DE">
      <w:pPr>
        <w:pStyle w:val="3"/>
        <w:numPr>
          <w:ilvl w:val="0"/>
          <w:numId w:val="2"/>
        </w:numPr>
        <w:spacing w:line="360" w:lineRule="auto"/>
        <w:rPr>
          <w:rFonts w:hint="eastAsia" w:asciiTheme="minorEastAsia" w:hAnsiTheme="minorEastAsia" w:eastAsiaTheme="minorEastAsia"/>
        </w:rPr>
      </w:pPr>
      <w:r>
        <w:rPr>
          <w:rFonts w:hint="eastAsia" w:asciiTheme="minorEastAsia" w:hAnsiTheme="minorEastAsia" w:eastAsiaTheme="minorEastAsia"/>
        </w:rPr>
        <w:t>项目背景</w:t>
      </w:r>
    </w:p>
    <w:p w14:paraId="09509189">
      <w:pPr>
        <w:spacing w:line="360" w:lineRule="auto"/>
        <w:ind w:firstLine="480" w:firstLineChars="200"/>
        <w:rPr>
          <w:rFonts w:hint="eastAsia" w:asciiTheme="minorEastAsia" w:hAnsiTheme="minorEastAsia"/>
          <w:sz w:val="24"/>
        </w:rPr>
      </w:pPr>
      <w:r>
        <w:rPr>
          <w:rFonts w:hint="eastAsia" w:asciiTheme="minorEastAsia" w:hAnsiTheme="minorEastAsia"/>
          <w:sz w:val="24"/>
        </w:rPr>
        <w:t>自新一轮医药卫生体制改革实施以来，我国全民医疗保险体系的建设步伐显著加快，基层医疗卫生机构服务条件明显改善，以全科医生为核心的基层人才队伍建设不断加强，基层服务长期薄弱的状况逐步改变，基本医疗卫生服务公平性和可及性明显提升。然而，强化基层医疗建设是一项持久且艰巨的任务，当前仍面临医疗资源总量不足、结构不合理、分布不均衡，尤其是基层专业人才匮乏的突出挑战。</w:t>
      </w:r>
      <w:bookmarkStart w:id="1" w:name="OLE_LINK14"/>
      <w:bookmarkStart w:id="2" w:name="OLE_LINK13"/>
    </w:p>
    <w:p w14:paraId="4BB2FA4B">
      <w:pPr>
        <w:spacing w:line="360" w:lineRule="auto"/>
        <w:ind w:firstLine="480" w:firstLineChars="200"/>
        <w:rPr>
          <w:rFonts w:hint="eastAsia" w:asciiTheme="minorEastAsia" w:hAnsiTheme="minorEastAsia"/>
          <w:sz w:val="24"/>
        </w:rPr>
      </w:pPr>
      <w:r>
        <w:rPr>
          <w:rFonts w:hint="eastAsia" w:asciiTheme="minorEastAsia" w:hAnsiTheme="minorEastAsia"/>
          <w:sz w:val="24"/>
        </w:rPr>
        <w:t>为切实解决基层医疗建设中遇到的难题，</w:t>
      </w:r>
      <w:r>
        <w:rPr>
          <w:rFonts w:hint="eastAsia" w:asciiTheme="minorEastAsia" w:hAnsiTheme="minorEastAsia"/>
          <w:sz w:val="24"/>
          <w:szCs w:val="24"/>
        </w:rPr>
        <w:t>国务院办公厅、</w:t>
      </w:r>
      <w:r>
        <w:rPr>
          <w:rFonts w:asciiTheme="minorEastAsia" w:hAnsiTheme="minorEastAsia"/>
          <w:sz w:val="24"/>
        </w:rPr>
        <w:t>国家卫生健康委、国家中医药管理局等部委</w:t>
      </w:r>
      <w:r>
        <w:rPr>
          <w:rFonts w:hint="eastAsia" w:asciiTheme="minorEastAsia" w:hAnsiTheme="minorEastAsia"/>
          <w:sz w:val="24"/>
        </w:rPr>
        <w:t>相继出台了</w:t>
      </w:r>
      <w:r>
        <w:rPr>
          <w:rFonts w:asciiTheme="minorEastAsia" w:hAnsiTheme="minorEastAsia"/>
          <w:sz w:val="24"/>
        </w:rPr>
        <w:t>《关于推进医疗联合体建设和发展的指导意见</w:t>
      </w:r>
      <w:r>
        <w:rPr>
          <w:rFonts w:hint="eastAsia" w:asciiTheme="minorEastAsia" w:hAnsiTheme="minorEastAsia"/>
          <w:sz w:val="24"/>
        </w:rPr>
        <w:t>（</w:t>
      </w:r>
      <w:r>
        <w:rPr>
          <w:rFonts w:hint="eastAsia" w:asciiTheme="minorEastAsia" w:hAnsiTheme="minorEastAsia"/>
          <w:sz w:val="24"/>
          <w:szCs w:val="24"/>
        </w:rPr>
        <w:t>国办发</w:t>
      </w:r>
      <w:r>
        <w:rPr>
          <w:rFonts w:asciiTheme="minorEastAsia" w:hAnsiTheme="minorEastAsia"/>
          <w:sz w:val="24"/>
          <w:szCs w:val="24"/>
        </w:rPr>
        <w:t>[2017]32号</w:t>
      </w:r>
      <w:r>
        <w:rPr>
          <w:rFonts w:hint="eastAsia" w:asciiTheme="minorEastAsia" w:hAnsiTheme="minorEastAsia"/>
          <w:sz w:val="24"/>
        </w:rPr>
        <w:t>）</w:t>
      </w:r>
      <w:r>
        <w:rPr>
          <w:rFonts w:asciiTheme="minorEastAsia" w:hAnsiTheme="minorEastAsia"/>
          <w:sz w:val="24"/>
        </w:rPr>
        <w:t>》、《关于推进紧密型县域医疗卫生共同体建设的通知</w:t>
      </w:r>
      <w:r>
        <w:rPr>
          <w:rFonts w:hint="eastAsia" w:asciiTheme="minorEastAsia" w:hAnsiTheme="minorEastAsia"/>
          <w:sz w:val="24"/>
        </w:rPr>
        <w:t>（国卫基层函[2019]121号）</w:t>
      </w:r>
      <w:r>
        <w:rPr>
          <w:rFonts w:asciiTheme="minorEastAsia" w:hAnsiTheme="minorEastAsia"/>
          <w:sz w:val="24"/>
        </w:rPr>
        <w:t>》、</w:t>
      </w:r>
      <w:r>
        <w:rPr>
          <w:rFonts w:hint="eastAsia" w:asciiTheme="minorEastAsia" w:hAnsiTheme="minorEastAsia"/>
          <w:sz w:val="24"/>
        </w:rPr>
        <w:t>《关于全面推进紧密型县域医疗卫生共同体建设的指导意见（国卫基层发 [2023]41号）》等一系列政策文件，</w:t>
      </w:r>
      <w:bookmarkEnd w:id="1"/>
      <w:bookmarkEnd w:id="2"/>
      <w:r>
        <w:rPr>
          <w:rFonts w:hint="eastAsia" w:asciiTheme="minorEastAsia" w:hAnsiTheme="minorEastAsia"/>
          <w:sz w:val="24"/>
        </w:rPr>
        <w:t>旨在大力推动医共体的建设与发展。</w:t>
      </w:r>
      <w:bookmarkStart w:id="3" w:name="OLE_LINK16"/>
      <w:bookmarkStart w:id="4" w:name="OLE_LINK15"/>
      <w:r>
        <w:rPr>
          <w:rFonts w:hint="eastAsia" w:asciiTheme="minorEastAsia" w:hAnsiTheme="minorEastAsia"/>
          <w:sz w:val="24"/>
        </w:rPr>
        <w:t>医共体建设是一项多维度、综合性的战略工程，不仅涉及组织管理、资源整合、服务优化等传统领域，还深刻触及绩效考核与激励机制创新、医防深度融合以及信息化建设等前沿议题。其中，合理用药信息化建设作为医共体高质量发展的核心驱动力，在医共体建设中占据着举足轻重的地位，是不可或缺的关键要素。</w:t>
      </w:r>
    </w:p>
    <w:p w14:paraId="0F9E0459">
      <w:pPr>
        <w:spacing w:line="360" w:lineRule="auto"/>
        <w:ind w:firstLine="480" w:firstLineChars="200"/>
        <w:rPr>
          <w:rFonts w:hint="eastAsia" w:asciiTheme="minorEastAsia" w:hAnsiTheme="minorEastAsia"/>
          <w:sz w:val="24"/>
        </w:rPr>
      </w:pPr>
      <w:r>
        <w:rPr>
          <w:rFonts w:hint="eastAsia" w:asciiTheme="minorEastAsia" w:hAnsiTheme="minorEastAsia"/>
          <w:sz w:val="24"/>
        </w:rPr>
        <w:t>为加速医共体合理用药信息化建设的进程</w:t>
      </w:r>
      <w:bookmarkEnd w:id="3"/>
      <w:bookmarkEnd w:id="4"/>
      <w:r>
        <w:rPr>
          <w:rFonts w:hint="eastAsia" w:asciiTheme="minorEastAsia" w:hAnsiTheme="minorEastAsia"/>
          <w:sz w:val="24"/>
        </w:rPr>
        <w:t>，国家卫生健康委和国家中医药管理局于2018年11月联合发布了《关于加快药学服务高质量发展的意见（国卫医发[2018]45号）》，明确指出要积极推动药学服务向基层延伸，探索建立医共体内统一的药学服务标准或规范，构建统一药品知识库和处方审核的规则库，实现医共体内药学服务、药品信息的标准化。同时，牵头医疗机构要加强对基层医疗机构的指导，通过进修培训、对口支援、远程会诊等方式提高其合理用药水平，尤其是对签约服务慢性病患者进行用药指导的能力和水平，实现医共体内药学服务的连续化、同质化。2024年3月19日，在国家卫生健康委就介绍“推进卫生健康事业高质量发展，护佑人民群众生命健康”的新闻发布会上，国家卫生健康委基层司司长傅卫也强调了提升医共体内药事管理同质化水平的重要性，并指出药学团队应在医共体内积极开展处方前置审核、处方点评等工作，确保群众在基层既能有药可用，更能放心用药、合理用药。</w:t>
      </w:r>
    </w:p>
    <w:p w14:paraId="3A3E1D36">
      <w:pPr>
        <w:spacing w:line="360" w:lineRule="auto"/>
        <w:ind w:firstLine="480"/>
        <w:rPr>
          <w:rFonts w:hint="eastAsia" w:asciiTheme="minorEastAsia" w:hAnsiTheme="minorEastAsia"/>
          <w:sz w:val="24"/>
        </w:rPr>
      </w:pPr>
      <w:r>
        <w:rPr>
          <w:rFonts w:hint="eastAsia" w:asciiTheme="minorEastAsia" w:hAnsiTheme="minorEastAsia"/>
          <w:sz w:val="24"/>
        </w:rPr>
        <w:t>遵循上述政策导向，医共体内应构建一套完善且高效的合理用药管理平台。该平台不仅能帮助药学人员快速开展跨机构合理用药审查、前置审方和处方点评等工作，</w:t>
      </w:r>
      <w:bookmarkStart w:id="5" w:name="OLE_LINK17"/>
      <w:bookmarkStart w:id="6" w:name="OLE_LINK6"/>
      <w:r>
        <w:rPr>
          <w:rFonts w:hint="eastAsia" w:asciiTheme="minorEastAsia" w:hAnsiTheme="minorEastAsia"/>
          <w:sz w:val="24"/>
        </w:rPr>
        <w:t>还能促进统一标准的药品知识库、药品审查规则库等数据库的建立</w:t>
      </w:r>
      <w:bookmarkEnd w:id="5"/>
      <w:bookmarkEnd w:id="6"/>
      <w:r>
        <w:rPr>
          <w:rFonts w:hint="eastAsia" w:asciiTheme="minorEastAsia" w:hAnsiTheme="minorEastAsia"/>
          <w:sz w:val="24"/>
        </w:rPr>
        <w:t>，使得各医疗机构能够开展同质化的药学服务，大大提升基层医疗机构合理用药整体水平，保障患者用药安全。</w:t>
      </w:r>
    </w:p>
    <w:p w14:paraId="21C54C2A">
      <w:pPr>
        <w:pStyle w:val="3"/>
        <w:numPr>
          <w:ilvl w:val="0"/>
          <w:numId w:val="2"/>
        </w:numPr>
        <w:spacing w:line="360" w:lineRule="auto"/>
        <w:rPr>
          <w:rFonts w:hint="eastAsia" w:asciiTheme="minorEastAsia" w:hAnsiTheme="minorEastAsia" w:eastAsiaTheme="minorEastAsia"/>
        </w:rPr>
      </w:pPr>
      <w:bookmarkStart w:id="7" w:name="_Toc19617104"/>
      <w:bookmarkStart w:id="8" w:name="_Toc19525206"/>
      <w:r>
        <w:rPr>
          <w:rFonts w:hint="eastAsia" w:asciiTheme="minorEastAsia" w:hAnsiTheme="minorEastAsia" w:eastAsiaTheme="minorEastAsia"/>
          <w:lang w:eastAsia="zh-CN"/>
        </w:rPr>
        <w:t>基本情况</w:t>
      </w:r>
    </w:p>
    <w:p w14:paraId="6E2B2EB0">
      <w:pPr>
        <w:pStyle w:val="4"/>
        <w:bidi w:val="0"/>
      </w:pPr>
      <w:bookmarkStart w:id="9" w:name="_Toc25195"/>
      <w:bookmarkStart w:id="10" w:name="_Toc167354420"/>
      <w:bookmarkStart w:id="11" w:name="_Toc30268"/>
      <w:r>
        <w:rPr>
          <w:rFonts w:hint="eastAsia"/>
          <w:lang w:val="en-US" w:eastAsia="zh-CN"/>
        </w:rPr>
        <w:tab/>
      </w:r>
      <w:r>
        <w:rPr>
          <w:rFonts w:hint="eastAsia"/>
          <w:lang w:val="en-US" w:eastAsia="zh-CN"/>
        </w:rPr>
        <w:t>（一）</w:t>
      </w:r>
      <w:r>
        <w:t>基层</w:t>
      </w:r>
      <w:bookmarkEnd w:id="9"/>
      <w:bookmarkEnd w:id="10"/>
      <w:r>
        <w:t>业务现状</w:t>
      </w:r>
      <w:bookmarkEnd w:id="11"/>
    </w:p>
    <w:p w14:paraId="6265BA0C">
      <w:pPr>
        <w:spacing w:line="360" w:lineRule="auto"/>
        <w:ind w:firstLine="480"/>
        <w:rPr>
          <w:rFonts w:hint="default" w:ascii="宋体" w:hAnsi="宋体" w:eastAsia="宋体" w:cs="Times New Roman"/>
          <w:sz w:val="24"/>
          <w:szCs w:val="24"/>
          <w:lang w:val="en-US" w:eastAsia="zh-CN"/>
        </w:rPr>
      </w:pPr>
      <w:r>
        <w:rPr>
          <w:rFonts w:hint="eastAsia" w:ascii="宋体" w:hAnsi="宋体" w:cs="Times New Roman"/>
          <w:sz w:val="24"/>
          <w:szCs w:val="24"/>
        </w:rPr>
        <w:t>目前</w:t>
      </w:r>
      <w:r>
        <w:rPr>
          <w:rFonts w:hint="eastAsia" w:ascii="宋体" w:hAnsi="宋体" w:cs="Times New Roman"/>
          <w:sz w:val="24"/>
          <w:szCs w:val="24"/>
          <w:lang w:eastAsia="zh-CN"/>
        </w:rPr>
        <w:t>勐海</w:t>
      </w:r>
      <w:r>
        <w:rPr>
          <w:rFonts w:hint="eastAsia" w:ascii="宋体" w:hAnsi="宋体" w:cs="Times New Roman"/>
          <w:sz w:val="24"/>
          <w:szCs w:val="24"/>
        </w:rPr>
        <w:t>县的</w:t>
      </w:r>
      <w:r>
        <w:rPr>
          <w:rFonts w:hint="eastAsia" w:ascii="宋体" w:hAnsi="宋体" w:cs="Times New Roman"/>
          <w:sz w:val="24"/>
          <w:szCs w:val="24"/>
          <w:lang w:eastAsia="zh-CN"/>
        </w:rPr>
        <w:t>县域医共体信息化建设项目暂未推行，乡镇卫生院信息化建设较为落后，功能单一。在当前环境实施处方审核类系统难度较大，成本较高，需加快县域医共体信息化进程来改善基层医疗单位信息化系统情况。</w:t>
      </w:r>
    </w:p>
    <w:p w14:paraId="425AF565">
      <w:pPr>
        <w:pStyle w:val="4"/>
        <w:bidi w:val="0"/>
      </w:pPr>
      <w:bookmarkStart w:id="12" w:name="_Toc15169"/>
      <w:r>
        <w:rPr>
          <w:rFonts w:hint="eastAsia"/>
          <w:lang w:val="en-US" w:eastAsia="zh-CN"/>
        </w:rPr>
        <w:tab/>
      </w:r>
      <w:r>
        <w:rPr>
          <w:rFonts w:hint="eastAsia"/>
          <w:lang w:val="en-US" w:eastAsia="zh-CN"/>
        </w:rPr>
        <w:t>（二）</w:t>
      </w:r>
      <w:r>
        <w:t>存在问题分析</w:t>
      </w:r>
      <w:bookmarkEnd w:id="12"/>
    </w:p>
    <w:p w14:paraId="64A8109F">
      <w:pPr>
        <w:pStyle w:val="5"/>
        <w:bidi w:val="0"/>
      </w:pPr>
      <w:bookmarkStart w:id="13" w:name="_Toc12688"/>
      <w:r>
        <w:rPr>
          <w:rFonts w:hint="eastAsia"/>
          <w:lang w:val="en-US" w:eastAsia="zh-CN"/>
        </w:rPr>
        <w:tab/>
      </w:r>
      <w:r>
        <w:rPr>
          <w:rFonts w:hint="eastAsia"/>
          <w:lang w:val="en-US" w:eastAsia="zh-CN"/>
        </w:rPr>
        <w:tab/>
      </w:r>
      <w:r>
        <w:rPr>
          <w:rFonts w:hint="eastAsia"/>
          <w:lang w:val="en-US" w:eastAsia="zh-CN"/>
        </w:rPr>
        <w:t>1.</w:t>
      </w:r>
      <w:r>
        <w:rPr>
          <w:rFonts w:hint="eastAsia"/>
        </w:rPr>
        <w:t>前置</w:t>
      </w:r>
      <w:r>
        <w:rPr>
          <w:rFonts w:hint="eastAsia"/>
          <w:lang w:eastAsia="zh-CN"/>
        </w:rPr>
        <w:t>合理用药</w:t>
      </w:r>
      <w:r>
        <w:rPr>
          <w:rFonts w:hint="eastAsia"/>
        </w:rPr>
        <w:t>系统缺失的现状</w:t>
      </w:r>
      <w:bookmarkEnd w:id="13"/>
    </w:p>
    <w:p w14:paraId="6A477340">
      <w:pPr>
        <w:spacing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基层医疗单位</w:t>
      </w:r>
      <w:r>
        <w:rPr>
          <w:rFonts w:hint="eastAsia" w:asciiTheme="minorEastAsia" w:hAnsiTheme="minorEastAsia" w:eastAsiaTheme="minorEastAsia" w:cstheme="minorEastAsia"/>
          <w:sz w:val="24"/>
          <w:szCs w:val="24"/>
        </w:rPr>
        <w:t>为大批的患者提供了慢病相关常用药物的配药服务，但药房人员配备相对较少，审方能力参差不齐，二级</w:t>
      </w:r>
      <w:r>
        <w:rPr>
          <w:rFonts w:hint="eastAsia" w:asciiTheme="minorEastAsia" w:hAnsiTheme="minorEastAsia" w:eastAsiaTheme="minorEastAsia" w:cstheme="minorEastAsia"/>
          <w:sz w:val="24"/>
          <w:szCs w:val="24"/>
          <w:lang w:eastAsia="zh-CN"/>
        </w:rPr>
        <w:t>以上</w:t>
      </w:r>
      <w:r>
        <w:rPr>
          <w:rFonts w:hint="eastAsia" w:asciiTheme="minorEastAsia" w:hAnsiTheme="minorEastAsia" w:eastAsiaTheme="minorEastAsia" w:cstheme="minorEastAsia"/>
          <w:sz w:val="24"/>
          <w:szCs w:val="24"/>
        </w:rPr>
        <w:t>医院临床药师相对配备齐全，审方经验相对丰富。随着医改的进一步深化，在4＋7药品集中采购的大环境下，二、三级医院与社区卫生中心的药品品种有了更多的重叠，继续建立统一的标准和管理。</w:t>
      </w:r>
    </w:p>
    <w:p w14:paraId="3EF6E42F">
      <w:pPr>
        <w:spacing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药师审方压力大：在没有前置审方系统的情况下，药师需要人工审核每一张处方，工作量大且容易出错。</w:t>
      </w:r>
    </w:p>
    <w:p w14:paraId="2C44D112">
      <w:pPr>
        <w:spacing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药师可能因疲劳或疏忽而未能及时发现处方中的错误或不合理之处。</w:t>
      </w:r>
    </w:p>
    <w:p w14:paraId="636ADFA2">
      <w:pPr>
        <w:spacing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处方错误风险增加：缺乏系统的前置审核环节，处方中的错误或不合理之处可能未能及时发现和纠正。</w:t>
      </w:r>
    </w:p>
    <w:p w14:paraId="0878600F">
      <w:pPr>
        <w:spacing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这可能导致患者用药不当、药物相互作用或不良反应等问题。</w:t>
      </w:r>
    </w:p>
    <w:p w14:paraId="240BEEF1">
      <w:pPr>
        <w:spacing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医疗效率低下：人工审方过程繁琐且耗时，降低了医疗效率。</w:t>
      </w:r>
    </w:p>
    <w:p w14:paraId="3F3BDDE0">
      <w:pPr>
        <w:spacing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患者可能需要等待较长时间才能获得处方审核结果。</w:t>
      </w:r>
    </w:p>
    <w:p w14:paraId="11D54BFD">
      <w:pPr>
        <w:pStyle w:val="5"/>
        <w:bidi w:val="0"/>
      </w:pPr>
      <w:bookmarkStart w:id="14" w:name="_Toc12284"/>
      <w:r>
        <w:rPr>
          <w:rFonts w:hint="eastAsia"/>
          <w:lang w:val="en-US" w:eastAsia="zh-CN"/>
        </w:rPr>
        <w:tab/>
      </w:r>
      <w:r>
        <w:rPr>
          <w:rFonts w:hint="eastAsia"/>
          <w:lang w:val="en-US" w:eastAsia="zh-CN"/>
        </w:rPr>
        <w:tab/>
      </w:r>
      <w:r>
        <w:rPr>
          <w:rFonts w:hint="eastAsia"/>
          <w:lang w:val="en-US" w:eastAsia="zh-CN"/>
        </w:rPr>
        <w:t>2.</w:t>
      </w:r>
      <w:r>
        <w:rPr>
          <w:rFonts w:hint="eastAsia"/>
        </w:rPr>
        <w:t>处方点评系统缺失的现状</w:t>
      </w:r>
      <w:bookmarkEnd w:id="14"/>
    </w:p>
    <w:p w14:paraId="0D001E10">
      <w:pPr>
        <w:spacing w:line="360" w:lineRule="auto"/>
        <w:ind w:firstLine="480"/>
        <w:rPr>
          <w:rFonts w:ascii="宋体" w:hAnsi="宋体" w:cs="Times New Roman"/>
          <w:sz w:val="24"/>
          <w:szCs w:val="24"/>
        </w:rPr>
      </w:pPr>
      <w:r>
        <w:rPr>
          <w:rFonts w:hint="eastAsia" w:ascii="宋体" w:hAnsi="宋体" w:cs="Times New Roman"/>
          <w:sz w:val="24"/>
          <w:szCs w:val="24"/>
        </w:rPr>
        <w:t>处方质量难以评估：缺乏系统的处方点评机制，无法对医生的处方质量进行有效评估。这可能导致处方中的不合理之处无法及时发现和纠正。</w:t>
      </w:r>
    </w:p>
    <w:p w14:paraId="66B09E9B">
      <w:pPr>
        <w:spacing w:line="360" w:lineRule="auto"/>
        <w:ind w:firstLine="480"/>
        <w:rPr>
          <w:rFonts w:ascii="宋体" w:hAnsi="宋体" w:cs="Times New Roman"/>
          <w:sz w:val="24"/>
          <w:szCs w:val="24"/>
        </w:rPr>
      </w:pPr>
      <w:r>
        <w:rPr>
          <w:rFonts w:hint="eastAsia" w:ascii="宋体" w:hAnsi="宋体" w:cs="Times New Roman"/>
          <w:sz w:val="24"/>
          <w:szCs w:val="24"/>
        </w:rPr>
        <w:t>医疗质量持续改进受限：没有处方点评系统的支持，医院难以对处方质量进行持续改进。医生可能无法及时获取处方质量的反馈信息，从而无法调整和优化用药方案。</w:t>
      </w:r>
    </w:p>
    <w:p w14:paraId="17501E52">
      <w:pPr>
        <w:spacing w:line="360" w:lineRule="auto"/>
        <w:ind w:firstLine="420" w:firstLineChars="0"/>
        <w:rPr>
          <w:rFonts w:hint="eastAsia"/>
        </w:rPr>
      </w:pPr>
      <w:r>
        <w:rPr>
          <w:rFonts w:hint="eastAsia" w:ascii="宋体" w:hAnsi="宋体" w:cs="Times New Roman"/>
          <w:sz w:val="24"/>
          <w:szCs w:val="24"/>
        </w:rPr>
        <w:t>患者用药安全难以保障：处方点评系统的缺失使得患者用药安全面临潜在风险。处方中的不合理之处可能导致患者用药不当或出现不良反应。</w:t>
      </w:r>
    </w:p>
    <w:p w14:paraId="4E7A6958">
      <w:pPr>
        <w:pStyle w:val="3"/>
        <w:numPr>
          <w:ilvl w:val="0"/>
          <w:numId w:val="2"/>
        </w:numPr>
        <w:spacing w:line="360" w:lineRule="auto"/>
        <w:rPr>
          <w:rFonts w:hint="eastAsia" w:asciiTheme="minorEastAsia" w:hAnsiTheme="minorEastAsia" w:eastAsiaTheme="minorEastAsia"/>
        </w:rPr>
      </w:pPr>
      <w:r>
        <w:rPr>
          <w:rFonts w:asciiTheme="minorEastAsia" w:hAnsiTheme="minorEastAsia" w:eastAsiaTheme="minorEastAsia"/>
        </w:rPr>
        <w:t>建设</w:t>
      </w:r>
      <w:r>
        <w:rPr>
          <w:rFonts w:hint="eastAsia" w:asciiTheme="minorEastAsia" w:hAnsiTheme="minorEastAsia" w:eastAsiaTheme="minorEastAsia"/>
        </w:rPr>
        <w:t>目的</w:t>
      </w:r>
      <w:r>
        <w:rPr>
          <w:rFonts w:asciiTheme="minorEastAsia" w:hAnsiTheme="minorEastAsia" w:eastAsiaTheme="minorEastAsia"/>
        </w:rPr>
        <w:t>及规模</w:t>
      </w:r>
    </w:p>
    <w:p w14:paraId="787792E0">
      <w:pPr>
        <w:spacing w:line="360" w:lineRule="auto"/>
        <w:ind w:firstLine="480" w:firstLineChars="200"/>
        <w:rPr>
          <w:rFonts w:hint="eastAsia" w:asciiTheme="minorEastAsia" w:hAnsiTheme="minorEastAsia"/>
          <w:sz w:val="24"/>
        </w:rPr>
      </w:pPr>
      <w:r>
        <w:rPr>
          <w:rFonts w:hint="eastAsia" w:asciiTheme="minorEastAsia" w:hAnsiTheme="minorEastAsia"/>
          <w:sz w:val="24"/>
        </w:rPr>
        <w:t>在监管部门的领导和组织下，依托勐海县人民医院临床药学服务和药事管理的技术力量，构建一套医共体合理用药管理平台，覆盖勐海县中医院、勐海县妇幼保健院</w:t>
      </w:r>
      <w:r>
        <w:rPr>
          <w:rFonts w:asciiTheme="minorEastAsia" w:hAnsiTheme="minorEastAsia"/>
          <w:sz w:val="24"/>
        </w:rPr>
        <w:t>及所辖</w:t>
      </w:r>
      <w:r>
        <w:rPr>
          <w:rFonts w:hint="eastAsia" w:asciiTheme="minorEastAsia" w:hAnsiTheme="minorEastAsia"/>
          <w:sz w:val="24"/>
        </w:rPr>
        <w:t>11家乡镇卫生院。</w:t>
      </w:r>
    </w:p>
    <w:p w14:paraId="40B7CDAB">
      <w:pPr>
        <w:pStyle w:val="3"/>
        <w:numPr>
          <w:ilvl w:val="0"/>
          <w:numId w:val="2"/>
        </w:numPr>
        <w:spacing w:line="360" w:lineRule="auto"/>
        <w:rPr>
          <w:rFonts w:hint="eastAsia" w:asciiTheme="minorEastAsia" w:hAnsiTheme="minorEastAsia" w:eastAsiaTheme="minorEastAsia"/>
        </w:rPr>
      </w:pPr>
      <w:r>
        <w:rPr>
          <w:rFonts w:hint="eastAsia" w:asciiTheme="minorEastAsia" w:hAnsiTheme="minorEastAsia" w:eastAsiaTheme="minorEastAsia"/>
        </w:rPr>
        <w:t>建设原则</w:t>
      </w:r>
    </w:p>
    <w:p w14:paraId="7F917821">
      <w:pPr>
        <w:pStyle w:val="4"/>
        <w:numPr>
          <w:ilvl w:val="0"/>
          <w:numId w:val="3"/>
        </w:numPr>
        <w:spacing w:line="360" w:lineRule="auto"/>
        <w:rPr>
          <w:rFonts w:hint="eastAsia" w:asciiTheme="minorEastAsia" w:hAnsiTheme="minorEastAsia"/>
          <w:sz w:val="28"/>
          <w:szCs w:val="28"/>
        </w:rPr>
      </w:pPr>
      <w:r>
        <w:rPr>
          <w:rFonts w:hint="eastAsia" w:asciiTheme="minorEastAsia" w:hAnsiTheme="minorEastAsia"/>
          <w:sz w:val="28"/>
          <w:szCs w:val="28"/>
        </w:rPr>
        <w:t>标准化原则</w:t>
      </w:r>
    </w:p>
    <w:p w14:paraId="6659EE03">
      <w:pPr>
        <w:spacing w:line="360" w:lineRule="auto"/>
        <w:ind w:firstLine="480" w:firstLineChars="200"/>
        <w:rPr>
          <w:rFonts w:hint="eastAsia" w:asciiTheme="minorEastAsia" w:hAnsiTheme="minorEastAsia"/>
          <w:bCs/>
          <w:sz w:val="24"/>
          <w:szCs w:val="28"/>
        </w:rPr>
      </w:pPr>
      <w:r>
        <w:rPr>
          <w:rFonts w:hint="eastAsia" w:asciiTheme="minorEastAsia" w:hAnsiTheme="minorEastAsia"/>
          <w:bCs/>
          <w:sz w:val="24"/>
          <w:szCs w:val="28"/>
        </w:rPr>
        <w:t>为满足医共体范围内及医共体间信息共享、数据互换、业务协同的需求，医共体信息化建设过程中，要将标准化工作作为最重要的基础性工作，须遵循统一的基础类标准、数据类标准、技术类标准、管理类规范。</w:t>
      </w:r>
    </w:p>
    <w:p w14:paraId="42648A2B">
      <w:pPr>
        <w:pStyle w:val="4"/>
        <w:numPr>
          <w:ilvl w:val="0"/>
          <w:numId w:val="3"/>
        </w:numPr>
        <w:spacing w:line="360" w:lineRule="auto"/>
        <w:rPr>
          <w:rFonts w:hint="eastAsia" w:asciiTheme="minorEastAsia" w:hAnsiTheme="minorEastAsia"/>
          <w:sz w:val="28"/>
          <w:szCs w:val="28"/>
        </w:rPr>
      </w:pPr>
      <w:r>
        <w:rPr>
          <w:rFonts w:hint="eastAsia" w:asciiTheme="minorEastAsia" w:hAnsiTheme="minorEastAsia"/>
          <w:sz w:val="28"/>
          <w:szCs w:val="28"/>
        </w:rPr>
        <w:t>可行性原则</w:t>
      </w:r>
    </w:p>
    <w:p w14:paraId="230CE194">
      <w:pPr>
        <w:spacing w:line="360" w:lineRule="auto"/>
        <w:ind w:firstLine="480" w:firstLineChars="200"/>
        <w:rPr>
          <w:rFonts w:hint="eastAsia" w:asciiTheme="minorEastAsia" w:hAnsiTheme="minorEastAsia"/>
          <w:bCs/>
          <w:sz w:val="24"/>
          <w:szCs w:val="28"/>
        </w:rPr>
      </w:pPr>
      <w:r>
        <w:rPr>
          <w:rFonts w:hint="eastAsia" w:asciiTheme="minorEastAsia" w:hAnsiTheme="minorEastAsia"/>
          <w:bCs/>
          <w:sz w:val="24"/>
          <w:szCs w:val="28"/>
        </w:rPr>
        <w:t>医共体信息化建设要充足考虑区域内经济社会发展和信息化工作基础，基于各医疗机构现有系统的状况，进行整体规划，充足论证，分步实行，避免反复建设，保证项目建设方案可付诸实行。</w:t>
      </w:r>
    </w:p>
    <w:p w14:paraId="09A6BACE">
      <w:pPr>
        <w:pStyle w:val="4"/>
        <w:numPr>
          <w:ilvl w:val="0"/>
          <w:numId w:val="3"/>
        </w:numPr>
        <w:spacing w:line="360" w:lineRule="auto"/>
        <w:rPr>
          <w:rFonts w:hint="eastAsia" w:asciiTheme="minorEastAsia" w:hAnsiTheme="minorEastAsia"/>
          <w:sz w:val="28"/>
          <w:szCs w:val="28"/>
        </w:rPr>
      </w:pPr>
      <w:r>
        <w:rPr>
          <w:rFonts w:hint="eastAsia" w:asciiTheme="minorEastAsia" w:hAnsiTheme="minorEastAsia"/>
          <w:sz w:val="28"/>
          <w:szCs w:val="28"/>
        </w:rPr>
        <w:t>实用性原则</w:t>
      </w:r>
    </w:p>
    <w:p w14:paraId="4036A13D">
      <w:pPr>
        <w:spacing w:line="360" w:lineRule="auto"/>
        <w:ind w:firstLine="480" w:firstLineChars="200"/>
        <w:rPr>
          <w:rFonts w:hint="eastAsia" w:asciiTheme="minorEastAsia" w:hAnsiTheme="minorEastAsia"/>
          <w:bCs/>
          <w:sz w:val="24"/>
          <w:szCs w:val="28"/>
        </w:rPr>
      </w:pPr>
      <w:r>
        <w:rPr>
          <w:rFonts w:hint="eastAsia" w:asciiTheme="minorEastAsia" w:hAnsiTheme="minorEastAsia"/>
          <w:bCs/>
          <w:sz w:val="24"/>
          <w:szCs w:val="28"/>
        </w:rPr>
        <w:t>医共体信息化建设在适当保持技术安全可靠、先进的前提下，要以满足业务需求为要务，保证软硬件投入具有较好的性价比，力求达成资金投入少、实用价值高、应用效益好的效果，保证信息化整体运营效率。</w:t>
      </w:r>
    </w:p>
    <w:p w14:paraId="223C620B">
      <w:pPr>
        <w:pStyle w:val="4"/>
        <w:numPr>
          <w:ilvl w:val="0"/>
          <w:numId w:val="3"/>
        </w:numPr>
        <w:spacing w:line="360" w:lineRule="auto"/>
        <w:rPr>
          <w:rFonts w:hint="eastAsia" w:asciiTheme="minorEastAsia" w:hAnsiTheme="minorEastAsia"/>
          <w:sz w:val="28"/>
          <w:szCs w:val="28"/>
        </w:rPr>
      </w:pPr>
      <w:r>
        <w:rPr>
          <w:rFonts w:hint="eastAsia" w:asciiTheme="minorEastAsia" w:hAnsiTheme="minorEastAsia"/>
          <w:sz w:val="28"/>
          <w:szCs w:val="28"/>
        </w:rPr>
        <w:t>可扩展性原则</w:t>
      </w:r>
    </w:p>
    <w:p w14:paraId="0AD47D07">
      <w:pPr>
        <w:spacing w:line="360" w:lineRule="auto"/>
        <w:ind w:firstLine="480" w:firstLineChars="200"/>
        <w:rPr>
          <w:rFonts w:hint="eastAsia" w:asciiTheme="minorEastAsia" w:hAnsiTheme="minorEastAsia"/>
          <w:bCs/>
          <w:sz w:val="24"/>
          <w:szCs w:val="28"/>
        </w:rPr>
      </w:pPr>
      <w:r>
        <w:rPr>
          <w:rFonts w:hint="eastAsia" w:asciiTheme="minorEastAsia" w:hAnsiTheme="minorEastAsia"/>
          <w:bCs/>
          <w:sz w:val="24"/>
          <w:szCs w:val="28"/>
        </w:rPr>
        <w:t>医共体信息化建设应兼顾满足已知需求的解决能力和性能规定，以及此后发展需求，特别是要考虑医疗机构业务模式的发展趋势，延长业务生命周期。技术上应采用开放式体系架构，使系统具有较强的动态适应性、可扩展性。</w:t>
      </w:r>
    </w:p>
    <w:p w14:paraId="5BC9CAA4">
      <w:pPr>
        <w:pStyle w:val="4"/>
        <w:numPr>
          <w:ilvl w:val="0"/>
          <w:numId w:val="3"/>
        </w:numPr>
        <w:spacing w:line="360" w:lineRule="auto"/>
        <w:rPr>
          <w:rFonts w:hint="eastAsia" w:asciiTheme="minorEastAsia" w:hAnsiTheme="minorEastAsia"/>
          <w:sz w:val="28"/>
          <w:szCs w:val="28"/>
        </w:rPr>
      </w:pPr>
      <w:r>
        <w:rPr>
          <w:rFonts w:hint="eastAsia" w:asciiTheme="minorEastAsia" w:hAnsiTheme="minorEastAsia"/>
          <w:sz w:val="28"/>
          <w:szCs w:val="28"/>
        </w:rPr>
        <w:t>安全性原则</w:t>
      </w:r>
    </w:p>
    <w:p w14:paraId="1278D609">
      <w:pPr>
        <w:spacing w:line="360" w:lineRule="auto"/>
        <w:ind w:firstLine="480" w:firstLineChars="200"/>
        <w:rPr>
          <w:rFonts w:hint="eastAsia" w:asciiTheme="minorEastAsia" w:hAnsiTheme="minorEastAsia"/>
          <w:bCs/>
          <w:sz w:val="24"/>
          <w:szCs w:val="28"/>
        </w:rPr>
      </w:pPr>
      <w:r>
        <w:rPr>
          <w:rFonts w:hint="eastAsia" w:asciiTheme="minorEastAsia" w:hAnsiTheme="minorEastAsia"/>
          <w:bCs/>
          <w:sz w:val="24"/>
          <w:szCs w:val="28"/>
        </w:rPr>
        <w:t>医共体信息化建设要强化风险意识，强化新的管理模式下数据和系统的可靠性和安全性，加强网络和数据安全，保护公民隐私，促进信息化有序发展。</w:t>
      </w:r>
    </w:p>
    <w:p w14:paraId="67F327FF">
      <w:pPr>
        <w:pStyle w:val="3"/>
        <w:numPr>
          <w:ilvl w:val="0"/>
          <w:numId w:val="2"/>
        </w:numPr>
        <w:spacing w:line="360" w:lineRule="auto"/>
        <w:rPr>
          <w:rFonts w:hint="eastAsia" w:asciiTheme="minorEastAsia" w:hAnsiTheme="minorEastAsia" w:eastAsiaTheme="minorEastAsia"/>
        </w:rPr>
      </w:pPr>
      <w:r>
        <w:rPr>
          <w:rFonts w:hint="eastAsia" w:asciiTheme="minorEastAsia" w:hAnsiTheme="minorEastAsia" w:eastAsiaTheme="minorEastAsia"/>
        </w:rPr>
        <w:t>建设依据</w:t>
      </w:r>
    </w:p>
    <w:p w14:paraId="4B94114F">
      <w:pPr>
        <w:pStyle w:val="43"/>
        <w:numPr>
          <w:ilvl w:val="1"/>
          <w:numId w:val="2"/>
        </w:numPr>
        <w:spacing w:line="360" w:lineRule="auto"/>
        <w:ind w:left="709" w:hanging="567" w:firstLineChars="0"/>
        <w:rPr>
          <w:rFonts w:hint="eastAsia" w:asciiTheme="minorEastAsia" w:hAnsiTheme="minorEastAsia"/>
          <w:sz w:val="24"/>
          <w:szCs w:val="24"/>
        </w:rPr>
      </w:pPr>
      <w:r>
        <w:rPr>
          <w:rFonts w:hint="eastAsia" w:asciiTheme="minorEastAsia" w:hAnsiTheme="minorEastAsia"/>
          <w:sz w:val="24"/>
          <w:szCs w:val="24"/>
        </w:rPr>
        <w:t>关于印发《处方管理办法</w:t>
      </w:r>
      <w:r>
        <w:rPr>
          <w:rFonts w:asciiTheme="minorEastAsia" w:hAnsiTheme="minorEastAsia"/>
          <w:sz w:val="24"/>
          <w:szCs w:val="24"/>
        </w:rPr>
        <w:t>(试行)》的通知(卫</w:t>
      </w:r>
      <w:r>
        <w:rPr>
          <w:rFonts w:hint="eastAsia" w:asciiTheme="minorEastAsia" w:hAnsiTheme="minorEastAsia"/>
          <w:sz w:val="24"/>
          <w:szCs w:val="24"/>
        </w:rPr>
        <w:t>医发</w:t>
      </w:r>
      <w:r>
        <w:rPr>
          <w:rFonts w:asciiTheme="minorEastAsia" w:hAnsiTheme="minorEastAsia"/>
          <w:sz w:val="24"/>
          <w:szCs w:val="24"/>
        </w:rPr>
        <w:t>[2004]269号)</w:t>
      </w:r>
    </w:p>
    <w:p w14:paraId="75629E59">
      <w:pPr>
        <w:pStyle w:val="43"/>
        <w:numPr>
          <w:ilvl w:val="1"/>
          <w:numId w:val="2"/>
        </w:numPr>
        <w:spacing w:line="360" w:lineRule="auto"/>
        <w:ind w:left="709" w:hanging="567" w:firstLineChars="0"/>
        <w:rPr>
          <w:rFonts w:hint="eastAsia" w:asciiTheme="minorEastAsia" w:hAnsiTheme="minorEastAsia"/>
          <w:sz w:val="24"/>
          <w:szCs w:val="24"/>
        </w:rPr>
      </w:pPr>
      <w:r>
        <w:rPr>
          <w:rFonts w:hint="eastAsia" w:asciiTheme="minorEastAsia" w:hAnsiTheme="minorEastAsia"/>
          <w:sz w:val="24"/>
          <w:szCs w:val="24"/>
        </w:rPr>
        <w:t>《中共中央国务院关于深化医药卫生体制改革的意见》</w:t>
      </w:r>
      <w:r>
        <w:rPr>
          <w:rFonts w:asciiTheme="minorEastAsia" w:hAnsiTheme="minorEastAsia"/>
          <w:sz w:val="24"/>
          <w:szCs w:val="24"/>
        </w:rPr>
        <w:t>(</w:t>
      </w:r>
      <w:r>
        <w:rPr>
          <w:rFonts w:hint="eastAsia" w:asciiTheme="minorEastAsia" w:hAnsiTheme="minorEastAsia"/>
          <w:sz w:val="24"/>
          <w:szCs w:val="24"/>
        </w:rPr>
        <w:t>中发</w:t>
      </w:r>
      <w:r>
        <w:rPr>
          <w:rFonts w:asciiTheme="minorEastAsia" w:hAnsiTheme="minorEastAsia"/>
          <w:sz w:val="24"/>
          <w:szCs w:val="24"/>
        </w:rPr>
        <w:t>[2009]6号)</w:t>
      </w:r>
    </w:p>
    <w:p w14:paraId="6361B93C">
      <w:pPr>
        <w:pStyle w:val="43"/>
        <w:numPr>
          <w:ilvl w:val="1"/>
          <w:numId w:val="2"/>
        </w:numPr>
        <w:spacing w:line="360" w:lineRule="auto"/>
        <w:ind w:left="709" w:hanging="567" w:firstLineChars="0"/>
        <w:rPr>
          <w:rFonts w:hint="eastAsia" w:asciiTheme="minorEastAsia" w:hAnsiTheme="minorEastAsia"/>
          <w:sz w:val="24"/>
          <w:szCs w:val="24"/>
        </w:rPr>
      </w:pPr>
      <w:r>
        <w:rPr>
          <w:rFonts w:hint="eastAsia" w:asciiTheme="minorEastAsia" w:hAnsiTheme="minorEastAsia"/>
          <w:sz w:val="24"/>
          <w:szCs w:val="24"/>
        </w:rPr>
        <w:t>关于印发《医院处方点评管理规范</w:t>
      </w:r>
      <w:r>
        <w:rPr>
          <w:rFonts w:asciiTheme="minorEastAsia" w:hAnsiTheme="minorEastAsia"/>
          <w:sz w:val="24"/>
          <w:szCs w:val="24"/>
        </w:rPr>
        <w:t>(</w:t>
      </w:r>
      <w:r>
        <w:rPr>
          <w:rFonts w:hint="eastAsia" w:asciiTheme="minorEastAsia" w:hAnsiTheme="minorEastAsia"/>
          <w:sz w:val="24"/>
          <w:szCs w:val="24"/>
        </w:rPr>
        <w:t>试行</w:t>
      </w:r>
      <w:r>
        <w:rPr>
          <w:rFonts w:asciiTheme="minorEastAsia" w:hAnsiTheme="minorEastAsia"/>
          <w:sz w:val="24"/>
          <w:szCs w:val="24"/>
        </w:rPr>
        <w:t>)</w:t>
      </w:r>
      <w:r>
        <w:rPr>
          <w:rFonts w:hint="eastAsia" w:asciiTheme="minorEastAsia" w:hAnsiTheme="minorEastAsia"/>
          <w:sz w:val="24"/>
          <w:szCs w:val="24"/>
        </w:rPr>
        <w:t>》的通知</w:t>
      </w:r>
      <w:r>
        <w:rPr>
          <w:rFonts w:asciiTheme="minorEastAsia" w:hAnsiTheme="minorEastAsia"/>
          <w:sz w:val="24"/>
          <w:szCs w:val="24"/>
        </w:rPr>
        <w:t>(</w:t>
      </w:r>
      <w:r>
        <w:rPr>
          <w:rFonts w:hint="eastAsia" w:asciiTheme="minorEastAsia" w:hAnsiTheme="minorEastAsia"/>
          <w:sz w:val="24"/>
          <w:szCs w:val="24"/>
        </w:rPr>
        <w:t>卫医管发</w:t>
      </w:r>
      <w:r>
        <w:rPr>
          <w:rFonts w:asciiTheme="minorEastAsia" w:hAnsiTheme="minorEastAsia"/>
          <w:sz w:val="24"/>
          <w:szCs w:val="24"/>
        </w:rPr>
        <w:t>[2010]28号)</w:t>
      </w:r>
    </w:p>
    <w:p w14:paraId="370C2B35">
      <w:pPr>
        <w:pStyle w:val="43"/>
        <w:numPr>
          <w:ilvl w:val="1"/>
          <w:numId w:val="2"/>
        </w:numPr>
        <w:spacing w:line="360" w:lineRule="auto"/>
        <w:ind w:left="709" w:hanging="567" w:firstLineChars="0"/>
        <w:rPr>
          <w:rFonts w:hint="eastAsia" w:asciiTheme="minorEastAsia" w:hAnsiTheme="minorEastAsia"/>
          <w:sz w:val="24"/>
          <w:szCs w:val="24"/>
        </w:rPr>
      </w:pPr>
      <w:r>
        <w:rPr>
          <w:rFonts w:hint="eastAsia" w:asciiTheme="minorEastAsia" w:hAnsiTheme="minorEastAsia"/>
          <w:sz w:val="24"/>
          <w:szCs w:val="24"/>
        </w:rPr>
        <w:t>卫生部办公厅关于印发《三级综合医院评审标准实施细则</w:t>
      </w:r>
      <w:r>
        <w:rPr>
          <w:rFonts w:asciiTheme="minorEastAsia" w:hAnsiTheme="minorEastAsia"/>
          <w:sz w:val="24"/>
          <w:szCs w:val="24"/>
        </w:rPr>
        <w:t>(2011年版)》</w:t>
      </w:r>
      <w:r>
        <w:rPr>
          <w:rFonts w:hint="eastAsia" w:asciiTheme="minorEastAsia" w:hAnsiTheme="minorEastAsia"/>
          <w:sz w:val="24"/>
          <w:szCs w:val="24"/>
        </w:rPr>
        <w:t>的通知</w:t>
      </w:r>
      <w:r>
        <w:rPr>
          <w:rFonts w:asciiTheme="minorEastAsia" w:hAnsiTheme="minorEastAsia"/>
          <w:sz w:val="24"/>
          <w:szCs w:val="24"/>
        </w:rPr>
        <w:t>(</w:t>
      </w:r>
      <w:r>
        <w:rPr>
          <w:rFonts w:hint="eastAsia" w:asciiTheme="minorEastAsia" w:hAnsiTheme="minorEastAsia"/>
          <w:sz w:val="24"/>
          <w:szCs w:val="24"/>
        </w:rPr>
        <w:t>卫办医管发</w:t>
      </w:r>
      <w:r>
        <w:rPr>
          <w:rFonts w:asciiTheme="minorEastAsia" w:hAnsiTheme="minorEastAsia"/>
          <w:sz w:val="24"/>
          <w:szCs w:val="24"/>
        </w:rPr>
        <w:t>[2011]148号)</w:t>
      </w:r>
    </w:p>
    <w:p w14:paraId="68E2661F">
      <w:pPr>
        <w:pStyle w:val="43"/>
        <w:numPr>
          <w:ilvl w:val="1"/>
          <w:numId w:val="2"/>
        </w:numPr>
        <w:spacing w:line="360" w:lineRule="auto"/>
        <w:ind w:left="709" w:hanging="567" w:firstLineChars="0"/>
        <w:rPr>
          <w:rFonts w:hint="eastAsia" w:asciiTheme="minorEastAsia" w:hAnsiTheme="minorEastAsia"/>
          <w:sz w:val="24"/>
          <w:szCs w:val="24"/>
        </w:rPr>
      </w:pPr>
      <w:r>
        <w:rPr>
          <w:rFonts w:hint="eastAsia" w:asciiTheme="minorEastAsia" w:hAnsiTheme="minorEastAsia"/>
          <w:sz w:val="24"/>
          <w:szCs w:val="24"/>
        </w:rPr>
        <w:t>《国家卫生计生委办公厅关于印发</w:t>
      </w:r>
      <w:r>
        <w:rPr>
          <w:rFonts w:asciiTheme="minorEastAsia" w:hAnsiTheme="minorEastAsia"/>
          <w:sz w:val="24"/>
          <w:szCs w:val="24"/>
        </w:rPr>
        <w:t>2016年深入落实进一步改善医疗服务行动计划重点工作方案的通知》(</w:t>
      </w:r>
      <w:r>
        <w:rPr>
          <w:rFonts w:hint="eastAsia" w:asciiTheme="minorEastAsia" w:hAnsiTheme="minorEastAsia"/>
          <w:sz w:val="24"/>
          <w:szCs w:val="24"/>
        </w:rPr>
        <w:t>国卫办医函</w:t>
      </w:r>
      <w:r>
        <w:rPr>
          <w:rFonts w:asciiTheme="minorEastAsia" w:hAnsiTheme="minorEastAsia"/>
          <w:sz w:val="24"/>
          <w:szCs w:val="24"/>
        </w:rPr>
        <w:t>[2016]362号)</w:t>
      </w:r>
    </w:p>
    <w:p w14:paraId="5074933F">
      <w:pPr>
        <w:pStyle w:val="43"/>
        <w:numPr>
          <w:ilvl w:val="1"/>
          <w:numId w:val="2"/>
        </w:numPr>
        <w:spacing w:line="360" w:lineRule="auto"/>
        <w:ind w:left="709" w:hanging="567" w:firstLineChars="0"/>
        <w:rPr>
          <w:rFonts w:hint="eastAsia" w:asciiTheme="minorEastAsia" w:hAnsiTheme="minorEastAsia"/>
          <w:sz w:val="24"/>
          <w:szCs w:val="24"/>
        </w:rPr>
      </w:pPr>
      <w:r>
        <w:rPr>
          <w:rFonts w:hint="eastAsia" w:asciiTheme="minorEastAsia" w:hAnsiTheme="minorEastAsia"/>
          <w:sz w:val="24"/>
          <w:szCs w:val="24"/>
        </w:rPr>
        <w:t>《国家卫生计生委办公厅关于印发三级综合医院医疗服务能力指南</w:t>
      </w:r>
      <w:r>
        <w:rPr>
          <w:rFonts w:asciiTheme="minorEastAsia" w:hAnsiTheme="minorEastAsia"/>
          <w:sz w:val="24"/>
          <w:szCs w:val="24"/>
        </w:rPr>
        <w:t>(2016年版)</w:t>
      </w:r>
      <w:r>
        <w:rPr>
          <w:rFonts w:hint="eastAsia" w:asciiTheme="minorEastAsia" w:hAnsiTheme="minorEastAsia"/>
          <w:sz w:val="24"/>
          <w:szCs w:val="24"/>
        </w:rPr>
        <w:t>的通知》</w:t>
      </w:r>
      <w:r>
        <w:rPr>
          <w:rFonts w:asciiTheme="minorEastAsia" w:hAnsiTheme="minorEastAsia"/>
          <w:sz w:val="24"/>
          <w:szCs w:val="24"/>
        </w:rPr>
        <w:t>(</w:t>
      </w:r>
      <w:r>
        <w:rPr>
          <w:rFonts w:hint="eastAsia" w:asciiTheme="minorEastAsia" w:hAnsiTheme="minorEastAsia"/>
          <w:sz w:val="24"/>
          <w:szCs w:val="24"/>
        </w:rPr>
        <w:t>国卫办医函</w:t>
      </w:r>
      <w:r>
        <w:rPr>
          <w:rFonts w:asciiTheme="minorEastAsia" w:hAnsiTheme="minorEastAsia"/>
          <w:sz w:val="24"/>
          <w:szCs w:val="24"/>
        </w:rPr>
        <w:t>[2016]936号)</w:t>
      </w:r>
    </w:p>
    <w:p w14:paraId="2341A584">
      <w:pPr>
        <w:pStyle w:val="43"/>
        <w:numPr>
          <w:ilvl w:val="1"/>
          <w:numId w:val="2"/>
        </w:numPr>
        <w:spacing w:line="360" w:lineRule="auto"/>
        <w:ind w:left="709" w:hanging="567" w:firstLineChars="0"/>
        <w:rPr>
          <w:rFonts w:hint="eastAsia" w:asciiTheme="minorEastAsia" w:hAnsiTheme="minorEastAsia"/>
          <w:sz w:val="24"/>
          <w:szCs w:val="24"/>
        </w:rPr>
      </w:pPr>
      <w:r>
        <w:rPr>
          <w:rFonts w:hint="eastAsia" w:asciiTheme="minorEastAsia" w:hAnsiTheme="minorEastAsia"/>
          <w:sz w:val="24"/>
          <w:szCs w:val="24"/>
        </w:rPr>
        <w:t>《关于加强药事管理转变药学服务模式的通知》</w:t>
      </w:r>
      <w:r>
        <w:rPr>
          <w:rFonts w:asciiTheme="minorEastAsia" w:hAnsiTheme="minorEastAsia"/>
          <w:sz w:val="24"/>
          <w:szCs w:val="24"/>
        </w:rPr>
        <w:t>(</w:t>
      </w:r>
      <w:r>
        <w:rPr>
          <w:rFonts w:hint="eastAsia" w:asciiTheme="minorEastAsia" w:hAnsiTheme="minorEastAsia"/>
          <w:sz w:val="24"/>
          <w:szCs w:val="24"/>
        </w:rPr>
        <w:t>国卫办医发</w:t>
      </w:r>
      <w:r>
        <w:rPr>
          <w:rFonts w:asciiTheme="minorEastAsia" w:hAnsiTheme="minorEastAsia"/>
          <w:sz w:val="24"/>
          <w:szCs w:val="24"/>
        </w:rPr>
        <w:t>[2017]26号)</w:t>
      </w:r>
    </w:p>
    <w:p w14:paraId="0C22713F">
      <w:pPr>
        <w:pStyle w:val="43"/>
        <w:numPr>
          <w:ilvl w:val="1"/>
          <w:numId w:val="2"/>
        </w:numPr>
        <w:spacing w:line="360" w:lineRule="auto"/>
        <w:ind w:left="709" w:hanging="567" w:firstLineChars="0"/>
        <w:rPr>
          <w:rFonts w:hint="eastAsia" w:asciiTheme="minorEastAsia" w:hAnsiTheme="minorEastAsia"/>
          <w:sz w:val="24"/>
          <w:szCs w:val="24"/>
        </w:rPr>
      </w:pPr>
      <w:r>
        <w:rPr>
          <w:rFonts w:hint="eastAsia" w:asciiTheme="minorEastAsia" w:hAnsiTheme="minorEastAsia"/>
          <w:sz w:val="24"/>
          <w:szCs w:val="24"/>
        </w:rPr>
        <w:t>《国务院办公厅关于推进医疗联合体建设和发展的指导意见》</w:t>
      </w:r>
      <w:r>
        <w:rPr>
          <w:rFonts w:asciiTheme="minorEastAsia" w:hAnsiTheme="minorEastAsia"/>
          <w:sz w:val="24"/>
          <w:szCs w:val="24"/>
        </w:rPr>
        <w:t>(</w:t>
      </w:r>
      <w:r>
        <w:rPr>
          <w:rFonts w:hint="eastAsia" w:asciiTheme="minorEastAsia" w:hAnsiTheme="minorEastAsia"/>
          <w:sz w:val="24"/>
          <w:szCs w:val="24"/>
        </w:rPr>
        <w:t>国办发</w:t>
      </w:r>
      <w:r>
        <w:rPr>
          <w:rFonts w:asciiTheme="minorEastAsia" w:hAnsiTheme="minorEastAsia"/>
          <w:sz w:val="24"/>
          <w:szCs w:val="24"/>
        </w:rPr>
        <w:t>[2017]32号)</w:t>
      </w:r>
    </w:p>
    <w:p w14:paraId="28777353">
      <w:pPr>
        <w:pStyle w:val="43"/>
        <w:numPr>
          <w:ilvl w:val="1"/>
          <w:numId w:val="2"/>
        </w:numPr>
        <w:spacing w:line="360" w:lineRule="auto"/>
        <w:ind w:left="709" w:hanging="567" w:firstLineChars="0"/>
        <w:rPr>
          <w:rFonts w:hint="eastAsia" w:asciiTheme="minorEastAsia" w:hAnsiTheme="minorEastAsia"/>
          <w:sz w:val="24"/>
          <w:szCs w:val="24"/>
        </w:rPr>
      </w:pPr>
      <w:r>
        <w:rPr>
          <w:rFonts w:hint="eastAsia" w:asciiTheme="minorEastAsia" w:hAnsiTheme="minorEastAsia"/>
          <w:sz w:val="24"/>
          <w:szCs w:val="24"/>
        </w:rPr>
        <w:t>《</w:t>
      </w:r>
      <w:bookmarkStart w:id="15" w:name="OLE_LINK12"/>
      <w:r>
        <w:rPr>
          <w:rFonts w:hint="eastAsia" w:asciiTheme="minorEastAsia" w:hAnsiTheme="minorEastAsia"/>
          <w:sz w:val="24"/>
          <w:szCs w:val="24"/>
        </w:rPr>
        <w:t>国务院办公厅</w:t>
      </w:r>
      <w:bookmarkEnd w:id="15"/>
      <w:r>
        <w:rPr>
          <w:rFonts w:hint="eastAsia" w:asciiTheme="minorEastAsia" w:hAnsiTheme="minorEastAsia"/>
          <w:sz w:val="24"/>
          <w:szCs w:val="24"/>
        </w:rPr>
        <w:t>关于促进“互联网</w:t>
      </w:r>
      <w:r>
        <w:rPr>
          <w:rFonts w:asciiTheme="minorEastAsia" w:hAnsiTheme="minorEastAsia"/>
          <w:sz w:val="24"/>
          <w:szCs w:val="24"/>
        </w:rPr>
        <w:t>+医疗健康”发展的意见》(</w:t>
      </w:r>
      <w:r>
        <w:rPr>
          <w:rFonts w:hint="eastAsia" w:asciiTheme="minorEastAsia" w:hAnsiTheme="minorEastAsia"/>
          <w:sz w:val="24"/>
          <w:szCs w:val="24"/>
        </w:rPr>
        <w:t>国办发</w:t>
      </w:r>
      <w:r>
        <w:rPr>
          <w:rFonts w:asciiTheme="minorEastAsia" w:hAnsiTheme="minorEastAsia"/>
          <w:sz w:val="24"/>
          <w:szCs w:val="24"/>
        </w:rPr>
        <w:t>[2018]26号)</w:t>
      </w:r>
    </w:p>
    <w:p w14:paraId="098FFDBD">
      <w:pPr>
        <w:pStyle w:val="43"/>
        <w:numPr>
          <w:ilvl w:val="1"/>
          <w:numId w:val="2"/>
        </w:numPr>
        <w:spacing w:line="360" w:lineRule="auto"/>
        <w:ind w:left="709" w:hanging="567" w:firstLineChars="0"/>
        <w:rPr>
          <w:rFonts w:hint="eastAsia" w:asciiTheme="minorEastAsia" w:hAnsiTheme="minorEastAsia"/>
          <w:sz w:val="24"/>
          <w:szCs w:val="24"/>
        </w:rPr>
      </w:pPr>
      <w:r>
        <w:rPr>
          <w:rFonts w:hint="eastAsia" w:asciiTheme="minorEastAsia" w:hAnsiTheme="minorEastAsia"/>
          <w:sz w:val="24"/>
          <w:szCs w:val="24"/>
        </w:rPr>
        <w:t>《关于印发医疗机构处方审核规范的通知》</w:t>
      </w:r>
      <w:r>
        <w:rPr>
          <w:rFonts w:asciiTheme="minorEastAsia" w:hAnsiTheme="minorEastAsia"/>
          <w:sz w:val="24"/>
          <w:szCs w:val="24"/>
        </w:rPr>
        <w:t>(</w:t>
      </w:r>
      <w:r>
        <w:rPr>
          <w:rFonts w:hint="eastAsia" w:asciiTheme="minorEastAsia" w:hAnsiTheme="minorEastAsia"/>
          <w:sz w:val="24"/>
          <w:szCs w:val="24"/>
        </w:rPr>
        <w:t>国卫办医发</w:t>
      </w:r>
      <w:r>
        <w:rPr>
          <w:rFonts w:asciiTheme="minorEastAsia" w:hAnsiTheme="minorEastAsia"/>
          <w:sz w:val="24"/>
          <w:szCs w:val="24"/>
        </w:rPr>
        <w:t>[2018]14号)</w:t>
      </w:r>
    </w:p>
    <w:p w14:paraId="7405F32E">
      <w:pPr>
        <w:pStyle w:val="43"/>
        <w:numPr>
          <w:ilvl w:val="1"/>
          <w:numId w:val="2"/>
        </w:numPr>
        <w:spacing w:line="360" w:lineRule="auto"/>
        <w:ind w:left="709" w:hanging="567" w:firstLineChars="0"/>
        <w:rPr>
          <w:rFonts w:hint="eastAsia" w:asciiTheme="minorEastAsia" w:hAnsiTheme="minorEastAsia"/>
          <w:sz w:val="24"/>
          <w:szCs w:val="24"/>
        </w:rPr>
      </w:pPr>
      <w:r>
        <w:rPr>
          <w:rFonts w:hint="eastAsia" w:asciiTheme="minorEastAsia" w:hAnsiTheme="minorEastAsia"/>
          <w:sz w:val="24"/>
          <w:szCs w:val="24"/>
        </w:rPr>
        <w:t>《关于进一步推进以电子病历为核心的医疗机构信息化建设工作的通知》</w:t>
      </w:r>
      <w:r>
        <w:rPr>
          <w:rFonts w:asciiTheme="minorEastAsia" w:hAnsiTheme="minorEastAsia"/>
          <w:sz w:val="24"/>
          <w:szCs w:val="24"/>
        </w:rPr>
        <w:t>(</w:t>
      </w:r>
      <w:r>
        <w:rPr>
          <w:rFonts w:hint="eastAsia" w:asciiTheme="minorEastAsia" w:hAnsiTheme="minorEastAsia"/>
          <w:sz w:val="24"/>
          <w:szCs w:val="24"/>
        </w:rPr>
        <w:t>国卫办医发</w:t>
      </w:r>
      <w:r>
        <w:rPr>
          <w:rFonts w:asciiTheme="minorEastAsia" w:hAnsiTheme="minorEastAsia"/>
          <w:sz w:val="24"/>
          <w:szCs w:val="24"/>
        </w:rPr>
        <w:t>[2018]20号)</w:t>
      </w:r>
    </w:p>
    <w:p w14:paraId="5E1CFCB3">
      <w:pPr>
        <w:pStyle w:val="43"/>
        <w:numPr>
          <w:ilvl w:val="1"/>
          <w:numId w:val="2"/>
        </w:numPr>
        <w:spacing w:line="360" w:lineRule="auto"/>
        <w:ind w:left="709" w:hanging="567" w:firstLineChars="0"/>
        <w:rPr>
          <w:rFonts w:hint="eastAsia" w:asciiTheme="minorEastAsia" w:hAnsiTheme="minorEastAsia"/>
          <w:sz w:val="24"/>
          <w:szCs w:val="24"/>
        </w:rPr>
      </w:pPr>
      <w:r>
        <w:rPr>
          <w:rFonts w:hint="eastAsia" w:asciiTheme="minorEastAsia" w:hAnsiTheme="minorEastAsia"/>
          <w:sz w:val="24"/>
          <w:szCs w:val="24"/>
        </w:rPr>
        <w:t>《卫生健康委中医药局关于加快药学加快药学服务高质量发展的意见》</w:t>
      </w:r>
      <w:r>
        <w:rPr>
          <w:rFonts w:asciiTheme="minorEastAsia" w:hAnsiTheme="minorEastAsia"/>
          <w:sz w:val="24"/>
          <w:szCs w:val="24"/>
        </w:rPr>
        <w:t>(</w:t>
      </w:r>
      <w:r>
        <w:rPr>
          <w:rFonts w:hint="eastAsia" w:asciiTheme="minorEastAsia" w:hAnsiTheme="minorEastAsia"/>
          <w:sz w:val="24"/>
          <w:szCs w:val="24"/>
        </w:rPr>
        <w:t>国卫医发</w:t>
      </w:r>
      <w:r>
        <w:rPr>
          <w:rFonts w:asciiTheme="minorEastAsia" w:hAnsiTheme="minorEastAsia"/>
          <w:sz w:val="24"/>
          <w:szCs w:val="24"/>
        </w:rPr>
        <w:t>[2018]45号)</w:t>
      </w:r>
    </w:p>
    <w:p w14:paraId="54F46091">
      <w:pPr>
        <w:pStyle w:val="43"/>
        <w:numPr>
          <w:ilvl w:val="1"/>
          <w:numId w:val="2"/>
        </w:numPr>
        <w:spacing w:line="360" w:lineRule="auto"/>
        <w:ind w:left="709" w:hanging="567" w:firstLineChars="0"/>
        <w:rPr>
          <w:rFonts w:hint="eastAsia" w:asciiTheme="minorEastAsia" w:hAnsiTheme="minorEastAsia"/>
          <w:sz w:val="24"/>
          <w:szCs w:val="24"/>
        </w:rPr>
      </w:pPr>
      <w:bookmarkStart w:id="16" w:name="OLE_LINK8"/>
      <w:bookmarkStart w:id="17" w:name="OLE_LINK9"/>
      <w:r>
        <w:rPr>
          <w:rFonts w:hint="eastAsia" w:asciiTheme="minorEastAsia" w:hAnsiTheme="minorEastAsia"/>
          <w:sz w:val="24"/>
          <w:szCs w:val="24"/>
        </w:rPr>
        <w:t>《关于印发电子病历系统应用水平分级评价管理办法（试行）及评价标准（试行）的通知》</w:t>
      </w:r>
      <w:r>
        <w:rPr>
          <w:rFonts w:asciiTheme="minorEastAsia" w:hAnsiTheme="minorEastAsia"/>
          <w:sz w:val="24"/>
          <w:szCs w:val="24"/>
        </w:rPr>
        <w:t>(</w:t>
      </w:r>
      <w:r>
        <w:rPr>
          <w:rFonts w:hint="eastAsia" w:asciiTheme="minorEastAsia" w:hAnsiTheme="minorEastAsia"/>
          <w:sz w:val="24"/>
          <w:szCs w:val="24"/>
        </w:rPr>
        <w:t>国卫办医函</w:t>
      </w:r>
      <w:r>
        <w:rPr>
          <w:rFonts w:asciiTheme="minorEastAsia" w:hAnsiTheme="minorEastAsia"/>
          <w:sz w:val="24"/>
          <w:szCs w:val="24"/>
        </w:rPr>
        <w:t>[2018]</w:t>
      </w:r>
      <w:r>
        <w:rPr>
          <w:rFonts w:hint="eastAsia" w:asciiTheme="minorEastAsia" w:hAnsiTheme="minorEastAsia"/>
          <w:sz w:val="24"/>
          <w:szCs w:val="24"/>
        </w:rPr>
        <w:t>1079号</w:t>
      </w:r>
      <w:r>
        <w:rPr>
          <w:rFonts w:asciiTheme="minorEastAsia" w:hAnsiTheme="minorEastAsia"/>
          <w:sz w:val="24"/>
          <w:szCs w:val="24"/>
        </w:rPr>
        <w:t>)</w:t>
      </w:r>
    </w:p>
    <w:bookmarkEnd w:id="16"/>
    <w:bookmarkEnd w:id="17"/>
    <w:p w14:paraId="2D102A3C">
      <w:pPr>
        <w:pStyle w:val="43"/>
        <w:numPr>
          <w:ilvl w:val="1"/>
          <w:numId w:val="2"/>
        </w:numPr>
        <w:spacing w:line="360" w:lineRule="auto"/>
        <w:ind w:left="709" w:hanging="567" w:firstLineChars="0"/>
        <w:rPr>
          <w:rFonts w:hint="eastAsia" w:asciiTheme="minorEastAsia" w:hAnsiTheme="minorEastAsia"/>
          <w:sz w:val="24"/>
          <w:szCs w:val="24"/>
        </w:rPr>
      </w:pPr>
      <w:r>
        <w:rPr>
          <w:rFonts w:hint="eastAsia" w:asciiTheme="minorEastAsia" w:hAnsiTheme="minorEastAsia"/>
          <w:sz w:val="24"/>
          <w:szCs w:val="24"/>
        </w:rPr>
        <w:t>《国务院办公厅关于加强三级公立医院绩效考核工作的意见》</w:t>
      </w:r>
      <w:r>
        <w:rPr>
          <w:rFonts w:asciiTheme="minorEastAsia" w:hAnsiTheme="minorEastAsia"/>
          <w:sz w:val="24"/>
          <w:szCs w:val="24"/>
        </w:rPr>
        <w:t>(</w:t>
      </w:r>
      <w:r>
        <w:rPr>
          <w:rFonts w:hint="eastAsia" w:asciiTheme="minorEastAsia" w:hAnsiTheme="minorEastAsia"/>
          <w:sz w:val="24"/>
          <w:szCs w:val="24"/>
        </w:rPr>
        <w:t>国办发</w:t>
      </w:r>
      <w:r>
        <w:rPr>
          <w:rFonts w:asciiTheme="minorEastAsia" w:hAnsiTheme="minorEastAsia"/>
          <w:sz w:val="24"/>
          <w:szCs w:val="24"/>
        </w:rPr>
        <w:t>[2019]</w:t>
      </w:r>
      <w:r>
        <w:rPr>
          <w:rFonts w:hint="eastAsia" w:asciiTheme="minorEastAsia" w:hAnsiTheme="minorEastAsia"/>
          <w:sz w:val="24"/>
          <w:szCs w:val="24"/>
        </w:rPr>
        <w:t>4号</w:t>
      </w:r>
      <w:r>
        <w:rPr>
          <w:rFonts w:asciiTheme="minorEastAsia" w:hAnsiTheme="minorEastAsia"/>
          <w:sz w:val="24"/>
          <w:szCs w:val="24"/>
        </w:rPr>
        <w:t>)</w:t>
      </w:r>
    </w:p>
    <w:p w14:paraId="60310D32">
      <w:pPr>
        <w:pStyle w:val="43"/>
        <w:numPr>
          <w:ilvl w:val="1"/>
          <w:numId w:val="2"/>
        </w:numPr>
        <w:spacing w:line="360" w:lineRule="auto"/>
        <w:ind w:left="709" w:hanging="567" w:firstLineChars="0"/>
        <w:rPr>
          <w:rFonts w:hint="eastAsia" w:asciiTheme="minorEastAsia" w:hAnsiTheme="minorEastAsia"/>
          <w:sz w:val="24"/>
          <w:szCs w:val="24"/>
        </w:rPr>
      </w:pPr>
      <w:r>
        <w:rPr>
          <w:rFonts w:hint="eastAsia" w:asciiTheme="minorEastAsia" w:hAnsiTheme="minorEastAsia"/>
          <w:sz w:val="24"/>
          <w:szCs w:val="24"/>
        </w:rPr>
        <w:t>《国家卫生健康委办公厅关于做好国家组织药品集中采购中选药品临床配备使用工作的通知》</w:t>
      </w:r>
      <w:r>
        <w:rPr>
          <w:rFonts w:asciiTheme="minorEastAsia" w:hAnsiTheme="minorEastAsia"/>
          <w:sz w:val="24"/>
          <w:szCs w:val="24"/>
        </w:rPr>
        <w:t>(</w:t>
      </w:r>
      <w:r>
        <w:rPr>
          <w:rFonts w:hint="eastAsia" w:asciiTheme="minorEastAsia" w:hAnsiTheme="minorEastAsia"/>
          <w:sz w:val="24"/>
          <w:szCs w:val="24"/>
        </w:rPr>
        <w:t>国卫办医函</w:t>
      </w:r>
      <w:r>
        <w:rPr>
          <w:rFonts w:asciiTheme="minorEastAsia" w:hAnsiTheme="minorEastAsia"/>
          <w:sz w:val="24"/>
          <w:szCs w:val="24"/>
        </w:rPr>
        <w:t>[2019]77号)</w:t>
      </w:r>
    </w:p>
    <w:p w14:paraId="22CED0C0">
      <w:pPr>
        <w:pStyle w:val="43"/>
        <w:numPr>
          <w:ilvl w:val="1"/>
          <w:numId w:val="2"/>
        </w:numPr>
        <w:spacing w:line="360" w:lineRule="auto"/>
        <w:ind w:left="709" w:hanging="567" w:firstLineChars="0"/>
        <w:rPr>
          <w:rFonts w:hint="eastAsia" w:asciiTheme="minorEastAsia" w:hAnsiTheme="minorEastAsia"/>
          <w:sz w:val="24"/>
          <w:szCs w:val="24"/>
        </w:rPr>
      </w:pPr>
      <w:r>
        <w:rPr>
          <w:rFonts w:hint="eastAsia" w:asciiTheme="minorEastAsia" w:hAnsiTheme="minorEastAsia"/>
          <w:sz w:val="24"/>
          <w:szCs w:val="24"/>
        </w:rPr>
        <w:t>《关于推进紧密型县域医疗卫生共同体建设的通知》</w:t>
      </w:r>
      <w:r>
        <w:rPr>
          <w:rFonts w:asciiTheme="minorEastAsia" w:hAnsiTheme="minorEastAsia"/>
          <w:sz w:val="24"/>
          <w:szCs w:val="24"/>
        </w:rPr>
        <w:t>(</w:t>
      </w:r>
      <w:r>
        <w:rPr>
          <w:rFonts w:hint="eastAsia" w:asciiTheme="minorEastAsia" w:hAnsiTheme="minorEastAsia"/>
          <w:sz w:val="24"/>
          <w:szCs w:val="24"/>
        </w:rPr>
        <w:t>国卫基层函</w:t>
      </w:r>
      <w:r>
        <w:rPr>
          <w:rFonts w:asciiTheme="minorEastAsia" w:hAnsiTheme="minorEastAsia"/>
          <w:sz w:val="24"/>
          <w:szCs w:val="24"/>
        </w:rPr>
        <w:t>[2019]121号)</w:t>
      </w:r>
    </w:p>
    <w:p w14:paraId="54D4295B">
      <w:pPr>
        <w:pStyle w:val="43"/>
        <w:numPr>
          <w:ilvl w:val="1"/>
          <w:numId w:val="2"/>
        </w:numPr>
        <w:spacing w:line="360" w:lineRule="auto"/>
        <w:ind w:left="709" w:hanging="567" w:firstLineChars="0"/>
        <w:rPr>
          <w:rFonts w:hint="eastAsia" w:asciiTheme="minorEastAsia" w:hAnsiTheme="minorEastAsia"/>
          <w:sz w:val="24"/>
          <w:szCs w:val="24"/>
        </w:rPr>
      </w:pPr>
      <w:r>
        <w:rPr>
          <w:rFonts w:hint="eastAsia" w:asciiTheme="minorEastAsia" w:hAnsiTheme="minorEastAsia"/>
          <w:sz w:val="24"/>
          <w:szCs w:val="24"/>
        </w:rPr>
        <w:t>《</w:t>
      </w:r>
      <w:bookmarkStart w:id="18" w:name="OLE_LINK11"/>
      <w:bookmarkStart w:id="19" w:name="OLE_LINK10"/>
      <w:r>
        <w:rPr>
          <w:rFonts w:hint="eastAsia" w:asciiTheme="minorEastAsia" w:hAnsiTheme="minorEastAsia"/>
          <w:sz w:val="24"/>
          <w:szCs w:val="24"/>
        </w:rPr>
        <w:t>关于印发第一批国家重点监控合理用药药品目录（化药及生物制品）的通知</w:t>
      </w:r>
      <w:bookmarkEnd w:id="18"/>
      <w:bookmarkEnd w:id="19"/>
      <w:r>
        <w:rPr>
          <w:rFonts w:hint="eastAsia" w:asciiTheme="minorEastAsia" w:hAnsiTheme="minorEastAsia"/>
          <w:sz w:val="24"/>
          <w:szCs w:val="24"/>
        </w:rPr>
        <w:t>》</w:t>
      </w:r>
      <w:r>
        <w:rPr>
          <w:rFonts w:asciiTheme="minorEastAsia" w:hAnsiTheme="minorEastAsia"/>
          <w:sz w:val="24"/>
          <w:szCs w:val="24"/>
        </w:rPr>
        <w:t>(</w:t>
      </w:r>
      <w:r>
        <w:rPr>
          <w:rFonts w:hint="eastAsia" w:asciiTheme="minorEastAsia" w:hAnsiTheme="minorEastAsia"/>
          <w:sz w:val="24"/>
          <w:szCs w:val="24"/>
        </w:rPr>
        <w:t>国卫办医函</w:t>
      </w:r>
      <w:r>
        <w:rPr>
          <w:rFonts w:asciiTheme="minorEastAsia" w:hAnsiTheme="minorEastAsia"/>
          <w:sz w:val="24"/>
          <w:szCs w:val="24"/>
        </w:rPr>
        <w:t>[2019]558号)</w:t>
      </w:r>
    </w:p>
    <w:p w14:paraId="6A435B01">
      <w:pPr>
        <w:pStyle w:val="43"/>
        <w:numPr>
          <w:ilvl w:val="1"/>
          <w:numId w:val="2"/>
        </w:numPr>
        <w:spacing w:line="360" w:lineRule="auto"/>
        <w:ind w:left="709" w:hanging="567" w:firstLineChars="0"/>
        <w:rPr>
          <w:rFonts w:hint="eastAsia" w:asciiTheme="minorEastAsia" w:hAnsiTheme="minorEastAsia"/>
          <w:sz w:val="24"/>
          <w:szCs w:val="24"/>
        </w:rPr>
      </w:pPr>
      <w:r>
        <w:rPr>
          <w:rFonts w:hint="eastAsia" w:asciiTheme="minorEastAsia" w:hAnsiTheme="minorEastAsia"/>
          <w:sz w:val="24"/>
          <w:szCs w:val="24"/>
        </w:rPr>
        <w:t>《国家卫生健康委办公厅关于按照属地化原则开展三级公立医院绩效考核与数据质量控制工作的通知》</w:t>
      </w:r>
      <w:r>
        <w:rPr>
          <w:rFonts w:asciiTheme="minorEastAsia" w:hAnsiTheme="minorEastAsia"/>
          <w:sz w:val="24"/>
          <w:szCs w:val="24"/>
        </w:rPr>
        <w:t>(</w:t>
      </w:r>
      <w:r>
        <w:rPr>
          <w:rFonts w:hint="eastAsia" w:asciiTheme="minorEastAsia" w:hAnsiTheme="minorEastAsia"/>
          <w:sz w:val="24"/>
          <w:szCs w:val="24"/>
        </w:rPr>
        <w:t>国卫办医函</w:t>
      </w:r>
      <w:r>
        <w:rPr>
          <w:rFonts w:asciiTheme="minorEastAsia" w:hAnsiTheme="minorEastAsia"/>
          <w:sz w:val="24"/>
          <w:szCs w:val="24"/>
        </w:rPr>
        <w:t>[2019]668号)</w:t>
      </w:r>
    </w:p>
    <w:p w14:paraId="188CE748">
      <w:pPr>
        <w:pStyle w:val="43"/>
        <w:numPr>
          <w:ilvl w:val="1"/>
          <w:numId w:val="2"/>
        </w:numPr>
        <w:spacing w:line="360" w:lineRule="auto"/>
        <w:ind w:left="709" w:hanging="567" w:firstLineChars="0"/>
        <w:rPr>
          <w:rFonts w:hint="eastAsia" w:asciiTheme="minorEastAsia" w:hAnsiTheme="minorEastAsia"/>
          <w:sz w:val="24"/>
          <w:szCs w:val="24"/>
        </w:rPr>
      </w:pPr>
      <w:r>
        <w:rPr>
          <w:rFonts w:hint="eastAsia" w:asciiTheme="minorEastAsia" w:hAnsiTheme="minorEastAsia"/>
          <w:sz w:val="24"/>
          <w:szCs w:val="24"/>
        </w:rPr>
        <w:t>《关于开展全面提升医疗质量行动（</w:t>
      </w:r>
      <w:r>
        <w:rPr>
          <w:rFonts w:asciiTheme="minorEastAsia" w:hAnsiTheme="minorEastAsia"/>
          <w:sz w:val="24"/>
          <w:szCs w:val="24"/>
        </w:rPr>
        <w:t>2023-2025年）的通知》(国卫</w:t>
      </w:r>
      <w:r>
        <w:rPr>
          <w:rFonts w:hint="eastAsia" w:asciiTheme="minorEastAsia" w:hAnsiTheme="minorEastAsia"/>
          <w:sz w:val="24"/>
          <w:szCs w:val="24"/>
        </w:rPr>
        <w:t>医政发</w:t>
      </w:r>
      <w:r>
        <w:rPr>
          <w:rFonts w:asciiTheme="minorEastAsia" w:hAnsiTheme="minorEastAsia"/>
          <w:sz w:val="24"/>
          <w:szCs w:val="24"/>
        </w:rPr>
        <w:t>[2023]12号)</w:t>
      </w:r>
    </w:p>
    <w:p w14:paraId="35071220">
      <w:pPr>
        <w:pStyle w:val="43"/>
        <w:numPr>
          <w:ilvl w:val="1"/>
          <w:numId w:val="2"/>
        </w:numPr>
        <w:spacing w:line="360" w:lineRule="auto"/>
        <w:ind w:left="709" w:hanging="567" w:firstLineChars="0"/>
        <w:rPr>
          <w:rFonts w:hint="eastAsia" w:asciiTheme="minorEastAsia" w:hAnsiTheme="minorEastAsia"/>
          <w:sz w:val="24"/>
          <w:szCs w:val="24"/>
        </w:rPr>
      </w:pPr>
      <w:r>
        <w:rPr>
          <w:rFonts w:hint="eastAsia" w:asciiTheme="minorEastAsia" w:hAnsiTheme="minorEastAsia"/>
          <w:sz w:val="24"/>
          <w:szCs w:val="24"/>
        </w:rPr>
        <w:t>《关于全面推进紧密型县域医疗卫生共同体建设的指导意见》</w:t>
      </w:r>
      <w:r>
        <w:rPr>
          <w:rFonts w:asciiTheme="minorEastAsia" w:hAnsiTheme="minorEastAsia"/>
          <w:sz w:val="24"/>
          <w:szCs w:val="24"/>
        </w:rPr>
        <w:t>(</w:t>
      </w:r>
      <w:r>
        <w:rPr>
          <w:rFonts w:hint="eastAsia" w:asciiTheme="minorEastAsia" w:hAnsiTheme="minorEastAsia"/>
          <w:sz w:val="24"/>
          <w:szCs w:val="24"/>
        </w:rPr>
        <w:t>国卫基层发</w:t>
      </w:r>
      <w:r>
        <w:rPr>
          <w:rFonts w:asciiTheme="minorEastAsia" w:hAnsiTheme="minorEastAsia"/>
          <w:sz w:val="24"/>
          <w:szCs w:val="24"/>
        </w:rPr>
        <w:t xml:space="preserve"> [2023]41号)</w:t>
      </w:r>
    </w:p>
    <w:p w14:paraId="0073B77B">
      <w:pPr>
        <w:widowControl/>
        <w:spacing w:line="360" w:lineRule="auto"/>
        <w:rPr>
          <w:rFonts w:hint="eastAsia" w:cs="Arial" w:asciiTheme="minorEastAsia" w:hAnsiTheme="minorEastAsia"/>
          <w:sz w:val="24"/>
          <w:szCs w:val="24"/>
        </w:rPr>
      </w:pPr>
      <w:r>
        <w:rPr>
          <w:rFonts w:cs="Arial" w:asciiTheme="minorEastAsia" w:hAnsiTheme="minorEastAsia"/>
          <w:sz w:val="24"/>
          <w:szCs w:val="24"/>
        </w:rPr>
        <w:br w:type="page"/>
      </w:r>
    </w:p>
    <w:p w14:paraId="751EFBE2">
      <w:pPr>
        <w:pStyle w:val="2"/>
        <w:spacing w:before="0" w:after="0" w:line="360" w:lineRule="auto"/>
        <w:jc w:val="center"/>
        <w:rPr>
          <w:rFonts w:hint="eastAsia" w:asciiTheme="minorEastAsia" w:hAnsiTheme="minorEastAsia"/>
        </w:rPr>
      </w:pPr>
      <w:r>
        <w:rPr>
          <w:rFonts w:asciiTheme="minorEastAsia" w:hAnsiTheme="minorEastAsia"/>
          <w:kern w:val="28"/>
        </w:rPr>
        <w:t>第</w:t>
      </w:r>
      <w:r>
        <w:rPr>
          <w:rFonts w:hint="eastAsia" w:asciiTheme="minorEastAsia" w:hAnsiTheme="minorEastAsia"/>
          <w:kern w:val="28"/>
        </w:rPr>
        <w:t>二</w:t>
      </w:r>
      <w:r>
        <w:rPr>
          <w:rFonts w:asciiTheme="minorEastAsia" w:hAnsiTheme="minorEastAsia"/>
          <w:kern w:val="28"/>
        </w:rPr>
        <w:t xml:space="preserve">部分   </w:t>
      </w:r>
      <w:r>
        <w:rPr>
          <w:rFonts w:hint="eastAsia" w:asciiTheme="minorEastAsia" w:hAnsiTheme="minorEastAsia"/>
          <w:kern w:val="28"/>
        </w:rPr>
        <w:t>需求分析</w:t>
      </w:r>
    </w:p>
    <w:bookmarkEnd w:id="7"/>
    <w:bookmarkEnd w:id="8"/>
    <w:p w14:paraId="62DD770E">
      <w:pPr>
        <w:pStyle w:val="3"/>
        <w:numPr>
          <w:ilvl w:val="0"/>
          <w:numId w:val="4"/>
        </w:numPr>
        <w:spacing w:line="360" w:lineRule="auto"/>
        <w:rPr>
          <w:rFonts w:hint="eastAsia" w:asciiTheme="minorEastAsia" w:hAnsiTheme="minorEastAsia" w:eastAsiaTheme="minorEastAsia"/>
        </w:rPr>
      </w:pPr>
      <w:r>
        <w:rPr>
          <w:rFonts w:hint="eastAsia" w:asciiTheme="minorEastAsia" w:hAnsiTheme="minorEastAsia" w:eastAsiaTheme="minorEastAsia"/>
        </w:rPr>
        <w:t>业务需求分析</w:t>
      </w:r>
    </w:p>
    <w:p w14:paraId="6C73A7D7">
      <w:pPr>
        <w:spacing w:line="360" w:lineRule="auto"/>
        <w:ind w:firstLine="480" w:firstLineChars="200"/>
        <w:rPr>
          <w:rFonts w:hint="eastAsia" w:asciiTheme="minorEastAsia" w:hAnsiTheme="minorEastAsia"/>
          <w:sz w:val="24"/>
          <w:szCs w:val="24"/>
          <w:highlight w:val="yellow"/>
        </w:rPr>
      </w:pPr>
      <w:r>
        <w:rPr>
          <w:rFonts w:hint="eastAsia" w:asciiTheme="minorEastAsia" w:hAnsiTheme="minorEastAsia"/>
          <w:sz w:val="24"/>
          <w:szCs w:val="24"/>
        </w:rPr>
        <w:t>合理用药管控贯穿患者药物治疗全过程，需要多个部门紧密协同工作，不同部门对区域合理用药管理平台的需求有所差异。</w:t>
      </w:r>
    </w:p>
    <w:p w14:paraId="32810402">
      <w:pPr>
        <w:pStyle w:val="4"/>
        <w:numPr>
          <w:ilvl w:val="0"/>
          <w:numId w:val="5"/>
        </w:numPr>
        <w:spacing w:line="360" w:lineRule="auto"/>
        <w:rPr>
          <w:rFonts w:hint="eastAsia" w:asciiTheme="minorEastAsia" w:hAnsiTheme="minorEastAsia"/>
          <w:sz w:val="28"/>
          <w:szCs w:val="28"/>
        </w:rPr>
      </w:pPr>
      <w:r>
        <w:rPr>
          <w:rFonts w:hint="eastAsia" w:asciiTheme="minorEastAsia" w:hAnsiTheme="minorEastAsia"/>
          <w:sz w:val="28"/>
          <w:szCs w:val="28"/>
        </w:rPr>
        <w:t>临床科室的需求</w:t>
      </w:r>
    </w:p>
    <w:p w14:paraId="02A8BA6B">
      <w:pPr>
        <w:widowControl/>
        <w:numPr>
          <w:ilvl w:val="0"/>
          <w:numId w:val="6"/>
        </w:numPr>
        <w:tabs>
          <w:tab w:val="left" w:pos="567"/>
        </w:tabs>
        <w:spacing w:line="360" w:lineRule="auto"/>
        <w:ind w:left="0" w:firstLine="284"/>
        <w:rPr>
          <w:rFonts w:hint="eastAsia" w:cs="Arial" w:asciiTheme="minorEastAsia" w:hAnsiTheme="minorEastAsia"/>
          <w:sz w:val="24"/>
          <w:szCs w:val="28"/>
        </w:rPr>
      </w:pPr>
      <w:r>
        <w:rPr>
          <w:rFonts w:hint="eastAsia" w:cs="Arial" w:asciiTheme="minorEastAsia" w:hAnsiTheme="minorEastAsia"/>
          <w:sz w:val="24"/>
          <w:szCs w:val="28"/>
        </w:rPr>
        <w:t>在开具处方、医嘱时，系统能自动对药物相互作用、剂量范围、药物禁忌等不合理用药问题进行审查</w:t>
      </w:r>
      <w:bookmarkStart w:id="20" w:name="_Toc494938774"/>
      <w:bookmarkStart w:id="21" w:name="_Toc495419131"/>
      <w:bookmarkStart w:id="22" w:name="_Toc495419130"/>
      <w:bookmarkStart w:id="23" w:name="_Toc494938773"/>
      <w:r>
        <w:rPr>
          <w:rFonts w:hint="eastAsia" w:cs="Arial" w:asciiTheme="minorEastAsia" w:hAnsiTheme="minorEastAsia"/>
          <w:sz w:val="24"/>
          <w:szCs w:val="28"/>
        </w:rPr>
        <w:t>，避免用药差错。</w:t>
      </w:r>
    </w:p>
    <w:p w14:paraId="28D1BE57">
      <w:pPr>
        <w:widowControl/>
        <w:numPr>
          <w:ilvl w:val="0"/>
          <w:numId w:val="6"/>
        </w:numPr>
        <w:tabs>
          <w:tab w:val="left" w:pos="567"/>
        </w:tabs>
        <w:spacing w:line="360" w:lineRule="auto"/>
        <w:ind w:left="0" w:firstLine="284"/>
        <w:rPr>
          <w:rFonts w:hint="eastAsia" w:cs="Arial" w:asciiTheme="minorEastAsia" w:hAnsiTheme="minorEastAsia"/>
          <w:sz w:val="24"/>
          <w:szCs w:val="28"/>
        </w:rPr>
      </w:pPr>
      <w:r>
        <w:rPr>
          <w:rFonts w:hint="eastAsia" w:cs="Arial" w:asciiTheme="minorEastAsia" w:hAnsiTheme="minorEastAsia"/>
          <w:sz w:val="24"/>
          <w:szCs w:val="28"/>
        </w:rPr>
        <w:t>可快速查看药品说明书、</w:t>
      </w:r>
      <w:r>
        <w:rPr>
          <w:rFonts w:cs="Arial" w:asciiTheme="minorEastAsia" w:hAnsiTheme="minorEastAsia"/>
          <w:sz w:val="24"/>
          <w:szCs w:val="28"/>
        </w:rPr>
        <w:t>药品</w:t>
      </w:r>
      <w:r>
        <w:rPr>
          <w:rFonts w:hint="eastAsia" w:cs="Arial" w:asciiTheme="minorEastAsia" w:hAnsiTheme="minorEastAsia"/>
          <w:sz w:val="24"/>
          <w:szCs w:val="28"/>
        </w:rPr>
        <w:t>注意事项、药物专论、医药法规等信息，辅助临床决策。</w:t>
      </w:r>
    </w:p>
    <w:p w14:paraId="779142B7">
      <w:pPr>
        <w:pStyle w:val="4"/>
        <w:numPr>
          <w:ilvl w:val="0"/>
          <w:numId w:val="5"/>
        </w:numPr>
        <w:spacing w:line="360" w:lineRule="auto"/>
        <w:rPr>
          <w:rFonts w:hint="eastAsia" w:asciiTheme="minorEastAsia" w:hAnsiTheme="minorEastAsia"/>
          <w:sz w:val="28"/>
          <w:szCs w:val="28"/>
        </w:rPr>
      </w:pPr>
      <w:r>
        <w:rPr>
          <w:rFonts w:hint="eastAsia" w:asciiTheme="minorEastAsia" w:hAnsiTheme="minorEastAsia"/>
          <w:sz w:val="28"/>
          <w:szCs w:val="28"/>
        </w:rPr>
        <w:t>药学部门的需求</w:t>
      </w:r>
    </w:p>
    <w:p w14:paraId="41DA9C2C">
      <w:pPr>
        <w:widowControl/>
        <w:numPr>
          <w:ilvl w:val="0"/>
          <w:numId w:val="7"/>
        </w:numPr>
        <w:tabs>
          <w:tab w:val="left" w:pos="567"/>
        </w:tabs>
        <w:spacing w:line="360" w:lineRule="auto"/>
        <w:ind w:left="0" w:firstLine="284"/>
        <w:rPr>
          <w:rFonts w:hint="eastAsia" w:cs="Arial" w:asciiTheme="minorEastAsia" w:hAnsiTheme="minorEastAsia"/>
          <w:sz w:val="24"/>
          <w:szCs w:val="28"/>
        </w:rPr>
      </w:pPr>
      <w:r>
        <w:rPr>
          <w:rFonts w:hint="eastAsia" w:cs="Arial" w:asciiTheme="minorEastAsia" w:hAnsiTheme="minorEastAsia"/>
          <w:sz w:val="24"/>
          <w:szCs w:val="28"/>
        </w:rPr>
        <w:t>建立区域共享患者档案，整合患者历史就诊信息，让药学人员可以全方位了解患者的病史、健康状况和药物治疗全过程，从而向患者提供更加精准、个体化的药学服务。</w:t>
      </w:r>
    </w:p>
    <w:p w14:paraId="5AAFA7B8">
      <w:pPr>
        <w:widowControl/>
        <w:numPr>
          <w:ilvl w:val="0"/>
          <w:numId w:val="7"/>
        </w:numPr>
        <w:tabs>
          <w:tab w:val="left" w:pos="567"/>
        </w:tabs>
        <w:spacing w:line="360" w:lineRule="auto"/>
        <w:ind w:left="0" w:firstLine="284"/>
        <w:rPr>
          <w:rFonts w:hint="eastAsia" w:cs="Arial" w:asciiTheme="minorEastAsia" w:hAnsiTheme="minorEastAsia"/>
          <w:sz w:val="24"/>
          <w:szCs w:val="28"/>
        </w:rPr>
      </w:pPr>
      <w:r>
        <w:rPr>
          <w:rFonts w:hint="eastAsia" w:cs="Arial" w:asciiTheme="minorEastAsia" w:hAnsiTheme="minorEastAsia"/>
          <w:sz w:val="24"/>
          <w:szCs w:val="28"/>
        </w:rPr>
        <w:t>利用信息化技术实现门诊处方、住院医嘱合理性审查，药师可自定义审查规则。</w:t>
      </w:r>
    </w:p>
    <w:p w14:paraId="44F82612">
      <w:pPr>
        <w:widowControl/>
        <w:numPr>
          <w:ilvl w:val="0"/>
          <w:numId w:val="7"/>
        </w:numPr>
        <w:tabs>
          <w:tab w:val="left" w:pos="567"/>
        </w:tabs>
        <w:spacing w:line="360" w:lineRule="auto"/>
        <w:ind w:left="0" w:firstLine="284"/>
        <w:rPr>
          <w:rFonts w:hint="eastAsia" w:cs="Arial" w:asciiTheme="minorEastAsia" w:hAnsiTheme="minorEastAsia"/>
          <w:sz w:val="24"/>
          <w:szCs w:val="28"/>
        </w:rPr>
      </w:pPr>
      <w:r>
        <w:rPr>
          <w:rFonts w:hint="eastAsia" w:cs="Arial" w:asciiTheme="minorEastAsia" w:hAnsiTheme="minorEastAsia"/>
          <w:sz w:val="24"/>
          <w:szCs w:val="28"/>
        </w:rPr>
        <w:t>利用信息化技术搭建药师审方平台，帮助门诊药师在患者缴费前完成门诊处方实时审查、住院药师在护士领药前完成住院医嘱审查。</w:t>
      </w:r>
    </w:p>
    <w:p w14:paraId="78F7A7FB">
      <w:pPr>
        <w:widowControl/>
        <w:numPr>
          <w:ilvl w:val="0"/>
          <w:numId w:val="7"/>
        </w:numPr>
        <w:tabs>
          <w:tab w:val="left" w:pos="567"/>
        </w:tabs>
        <w:spacing w:line="360" w:lineRule="auto"/>
        <w:ind w:left="0" w:firstLine="284"/>
        <w:rPr>
          <w:rFonts w:hint="eastAsia" w:cs="Arial" w:asciiTheme="minorEastAsia" w:hAnsiTheme="minorEastAsia"/>
          <w:sz w:val="24"/>
          <w:szCs w:val="28"/>
        </w:rPr>
      </w:pPr>
      <w:r>
        <w:rPr>
          <w:rFonts w:hint="eastAsia" w:cs="Arial" w:asciiTheme="minorEastAsia" w:hAnsiTheme="minorEastAsia"/>
          <w:sz w:val="24"/>
          <w:szCs w:val="28"/>
        </w:rPr>
        <w:t>利用信息化技术实现处方、医嘱程序点评，药师可在程序点评的基础上进行人工确认并将点评结果反馈给临床医生或科主任。</w:t>
      </w:r>
    </w:p>
    <w:p w14:paraId="4FF448AF">
      <w:pPr>
        <w:widowControl/>
        <w:numPr>
          <w:ilvl w:val="0"/>
          <w:numId w:val="7"/>
        </w:numPr>
        <w:tabs>
          <w:tab w:val="left" w:pos="567"/>
        </w:tabs>
        <w:spacing w:line="360" w:lineRule="auto"/>
        <w:ind w:left="0" w:firstLine="284"/>
        <w:rPr>
          <w:rFonts w:hint="eastAsia" w:cs="Arial" w:asciiTheme="minorEastAsia" w:hAnsiTheme="minorEastAsia"/>
          <w:sz w:val="24"/>
          <w:szCs w:val="28"/>
        </w:rPr>
      </w:pPr>
      <w:r>
        <w:rPr>
          <w:rFonts w:hint="eastAsia" w:cs="Arial" w:asciiTheme="minorEastAsia" w:hAnsiTheme="minorEastAsia"/>
          <w:sz w:val="24"/>
          <w:szCs w:val="28"/>
        </w:rPr>
        <w:t xml:space="preserve">利用信息化技术实现药品消耗情况、药品使用趋势、合理用药指标和政策相关报表的统计与分析，方便上报。 </w:t>
      </w:r>
    </w:p>
    <w:p w14:paraId="6D334FBA">
      <w:pPr>
        <w:widowControl/>
        <w:numPr>
          <w:ilvl w:val="0"/>
          <w:numId w:val="7"/>
        </w:numPr>
        <w:tabs>
          <w:tab w:val="left" w:pos="567"/>
        </w:tabs>
        <w:spacing w:line="360" w:lineRule="auto"/>
        <w:ind w:left="0" w:firstLine="284"/>
        <w:rPr>
          <w:rFonts w:hint="eastAsia" w:cs="Arial" w:asciiTheme="minorEastAsia" w:hAnsiTheme="minorEastAsia"/>
          <w:sz w:val="24"/>
          <w:szCs w:val="28"/>
        </w:rPr>
      </w:pPr>
      <w:r>
        <w:rPr>
          <w:rFonts w:hint="eastAsia" w:cs="Arial" w:asciiTheme="minorEastAsia" w:hAnsiTheme="minorEastAsia"/>
          <w:sz w:val="24"/>
          <w:szCs w:val="28"/>
        </w:rPr>
        <w:t>可快速查看药品说明书、</w:t>
      </w:r>
      <w:r>
        <w:rPr>
          <w:rFonts w:cs="Arial" w:asciiTheme="minorEastAsia" w:hAnsiTheme="minorEastAsia"/>
          <w:sz w:val="24"/>
          <w:szCs w:val="28"/>
        </w:rPr>
        <w:t>药品</w:t>
      </w:r>
      <w:r>
        <w:rPr>
          <w:rFonts w:hint="eastAsia" w:cs="Arial" w:asciiTheme="minorEastAsia" w:hAnsiTheme="minorEastAsia"/>
          <w:sz w:val="24"/>
          <w:szCs w:val="28"/>
        </w:rPr>
        <w:t>注意事项、药物专论、医药法规等信息等，辅助临床决策。</w:t>
      </w:r>
    </w:p>
    <w:bookmarkEnd w:id="20"/>
    <w:bookmarkEnd w:id="21"/>
    <w:p w14:paraId="09D1607F">
      <w:pPr>
        <w:pStyle w:val="4"/>
        <w:numPr>
          <w:ilvl w:val="0"/>
          <w:numId w:val="5"/>
        </w:numPr>
        <w:spacing w:line="360" w:lineRule="auto"/>
        <w:rPr>
          <w:rFonts w:hint="eastAsia" w:asciiTheme="minorEastAsia" w:hAnsiTheme="minorEastAsia"/>
          <w:sz w:val="28"/>
          <w:szCs w:val="28"/>
        </w:rPr>
      </w:pPr>
      <w:r>
        <w:rPr>
          <w:rFonts w:hint="eastAsia" w:asciiTheme="minorEastAsia" w:hAnsiTheme="minorEastAsia"/>
          <w:sz w:val="28"/>
          <w:szCs w:val="28"/>
        </w:rPr>
        <w:t>院领导的需求</w:t>
      </w:r>
    </w:p>
    <w:p w14:paraId="7A468F11">
      <w:pPr>
        <w:widowControl/>
        <w:numPr>
          <w:ilvl w:val="0"/>
          <w:numId w:val="8"/>
        </w:numPr>
        <w:tabs>
          <w:tab w:val="left" w:pos="567"/>
        </w:tabs>
        <w:spacing w:line="360" w:lineRule="auto"/>
        <w:ind w:left="0" w:firstLine="284"/>
        <w:rPr>
          <w:rFonts w:hint="eastAsia" w:cs="Arial" w:asciiTheme="minorEastAsia" w:hAnsiTheme="minorEastAsia"/>
          <w:sz w:val="24"/>
          <w:szCs w:val="28"/>
        </w:rPr>
      </w:pPr>
      <w:r>
        <w:rPr>
          <w:rFonts w:hint="eastAsia" w:cs="Arial" w:asciiTheme="minorEastAsia" w:hAnsiTheme="minorEastAsia"/>
          <w:sz w:val="24"/>
          <w:szCs w:val="28"/>
        </w:rPr>
        <w:t>利用信息化技术监控、干预临床医生的处方行为，确保医疗过程符合规范，减少医疗差错。</w:t>
      </w:r>
    </w:p>
    <w:p w14:paraId="3B48F352">
      <w:pPr>
        <w:widowControl/>
        <w:numPr>
          <w:ilvl w:val="0"/>
          <w:numId w:val="8"/>
        </w:numPr>
        <w:tabs>
          <w:tab w:val="left" w:pos="567"/>
        </w:tabs>
        <w:spacing w:line="360" w:lineRule="auto"/>
        <w:ind w:left="0" w:firstLine="284"/>
        <w:rPr>
          <w:rFonts w:hint="eastAsia" w:cs="Arial" w:asciiTheme="minorEastAsia" w:hAnsiTheme="minorEastAsia"/>
          <w:sz w:val="24"/>
          <w:szCs w:val="28"/>
        </w:rPr>
      </w:pPr>
      <w:r>
        <w:rPr>
          <w:rFonts w:hint="eastAsia" w:cs="Arial" w:asciiTheme="minorEastAsia" w:hAnsiTheme="minorEastAsia"/>
          <w:sz w:val="24"/>
          <w:szCs w:val="28"/>
        </w:rPr>
        <w:t>利用信息化技术对各科室及医生的合理用药情况进行评估，纳入绩效考核体系，激励医护人员提高合理用药水平。</w:t>
      </w:r>
    </w:p>
    <w:p w14:paraId="4DC401A7">
      <w:pPr>
        <w:widowControl/>
        <w:numPr>
          <w:ilvl w:val="0"/>
          <w:numId w:val="8"/>
        </w:numPr>
        <w:tabs>
          <w:tab w:val="left" w:pos="567"/>
        </w:tabs>
        <w:spacing w:line="360" w:lineRule="auto"/>
        <w:ind w:left="0" w:firstLine="284"/>
        <w:rPr>
          <w:rFonts w:hint="eastAsia" w:cs="Arial" w:asciiTheme="minorEastAsia" w:hAnsiTheme="minorEastAsia"/>
          <w:sz w:val="24"/>
          <w:szCs w:val="28"/>
        </w:rPr>
      </w:pPr>
      <w:r>
        <w:rPr>
          <w:rFonts w:hint="eastAsia" w:cs="Arial" w:asciiTheme="minorEastAsia" w:hAnsiTheme="minorEastAsia"/>
          <w:sz w:val="24"/>
          <w:szCs w:val="28"/>
        </w:rPr>
        <w:t>掌握全院药品消耗情况、合理用药指标达标情况，为医院管理决策提供坚实的数据支撑，促进医疗资源的合理配置与高效利用。</w:t>
      </w:r>
    </w:p>
    <w:p w14:paraId="64103D07">
      <w:pPr>
        <w:widowControl/>
        <w:numPr>
          <w:ilvl w:val="0"/>
          <w:numId w:val="8"/>
        </w:numPr>
        <w:tabs>
          <w:tab w:val="left" w:pos="567"/>
        </w:tabs>
        <w:spacing w:line="360" w:lineRule="auto"/>
        <w:ind w:left="0" w:firstLine="284"/>
        <w:rPr>
          <w:rFonts w:hint="eastAsia" w:cs="Arial" w:asciiTheme="minorEastAsia" w:hAnsiTheme="minorEastAsia"/>
          <w:sz w:val="24"/>
          <w:szCs w:val="28"/>
        </w:rPr>
      </w:pPr>
      <w:r>
        <w:rPr>
          <w:rFonts w:hint="eastAsia" w:cs="Arial" w:asciiTheme="minorEastAsia" w:hAnsiTheme="minorEastAsia"/>
          <w:sz w:val="24"/>
          <w:szCs w:val="28"/>
        </w:rPr>
        <w:t>搭建一体化合理用药管理平台，促进临床科室、药剂科、信息科等多部门之间的信息共享与协作，提高整体工作效率。</w:t>
      </w:r>
    </w:p>
    <w:bookmarkEnd w:id="22"/>
    <w:bookmarkEnd w:id="23"/>
    <w:p w14:paraId="0F84F08E">
      <w:pPr>
        <w:pStyle w:val="4"/>
        <w:numPr>
          <w:ilvl w:val="0"/>
          <w:numId w:val="5"/>
        </w:numPr>
        <w:spacing w:line="360" w:lineRule="auto"/>
        <w:rPr>
          <w:rFonts w:hint="eastAsia" w:asciiTheme="minorEastAsia" w:hAnsiTheme="minorEastAsia"/>
          <w:sz w:val="28"/>
          <w:szCs w:val="28"/>
        </w:rPr>
      </w:pPr>
      <w:bookmarkStart w:id="24" w:name="_Toc171259746"/>
      <w:bookmarkEnd w:id="24"/>
      <w:bookmarkStart w:id="25" w:name="_Toc171259944"/>
      <w:bookmarkEnd w:id="25"/>
      <w:bookmarkStart w:id="26" w:name="_Toc171260075"/>
      <w:bookmarkEnd w:id="26"/>
      <w:bookmarkStart w:id="27" w:name="_Toc171260076"/>
      <w:bookmarkEnd w:id="27"/>
      <w:bookmarkStart w:id="28" w:name="_Toc171259747"/>
      <w:bookmarkEnd w:id="28"/>
      <w:bookmarkStart w:id="29" w:name="_Toc171259945"/>
      <w:bookmarkEnd w:id="29"/>
      <w:r>
        <w:rPr>
          <w:rFonts w:hint="eastAsia" w:asciiTheme="minorEastAsia" w:hAnsiTheme="minorEastAsia"/>
          <w:sz w:val="28"/>
          <w:szCs w:val="28"/>
        </w:rPr>
        <w:t>监管部门的需求</w:t>
      </w:r>
    </w:p>
    <w:p w14:paraId="4D7C6335">
      <w:pPr>
        <w:widowControl/>
        <w:numPr>
          <w:ilvl w:val="0"/>
          <w:numId w:val="9"/>
        </w:numPr>
        <w:tabs>
          <w:tab w:val="left" w:pos="567"/>
        </w:tabs>
        <w:spacing w:line="360" w:lineRule="auto"/>
        <w:ind w:left="0" w:firstLine="284"/>
        <w:rPr>
          <w:rFonts w:hint="eastAsia" w:cs="Arial" w:asciiTheme="minorEastAsia" w:hAnsiTheme="minorEastAsia"/>
          <w:sz w:val="24"/>
          <w:szCs w:val="28"/>
        </w:rPr>
      </w:pPr>
      <w:r>
        <w:rPr>
          <w:rFonts w:hint="eastAsia" w:cs="Arial" w:asciiTheme="minorEastAsia" w:hAnsiTheme="minorEastAsia"/>
          <w:sz w:val="24"/>
          <w:szCs w:val="28"/>
        </w:rPr>
        <w:t xml:space="preserve">建立区域用药数据监控中心，对全区药品使用情况进行综合分析，全方位掌握各医疗机构药品使用数据，实现对药品使用的全面管控、资源合理分配以及决策支持。 </w:t>
      </w:r>
    </w:p>
    <w:p w14:paraId="0BA6146E">
      <w:pPr>
        <w:widowControl/>
        <w:numPr>
          <w:ilvl w:val="0"/>
          <w:numId w:val="9"/>
        </w:numPr>
        <w:tabs>
          <w:tab w:val="left" w:pos="567"/>
        </w:tabs>
        <w:spacing w:line="360" w:lineRule="auto"/>
        <w:ind w:left="0" w:firstLine="284"/>
        <w:rPr>
          <w:rFonts w:hint="eastAsia" w:cs="Arial" w:asciiTheme="minorEastAsia" w:hAnsiTheme="minorEastAsia"/>
          <w:sz w:val="24"/>
          <w:szCs w:val="28"/>
        </w:rPr>
      </w:pPr>
      <w:r>
        <w:rPr>
          <w:rFonts w:hint="eastAsia" w:cs="Arial" w:asciiTheme="minorEastAsia" w:hAnsiTheme="minorEastAsia"/>
          <w:sz w:val="24"/>
          <w:szCs w:val="28"/>
        </w:rPr>
        <w:t xml:space="preserve">建立区域合理用药审核中心并统一药品审核规则，实现全区处方、医嘱自动审查，保障患者用药安全。 </w:t>
      </w:r>
    </w:p>
    <w:p w14:paraId="4CE910DB">
      <w:pPr>
        <w:widowControl/>
        <w:numPr>
          <w:ilvl w:val="0"/>
          <w:numId w:val="9"/>
        </w:numPr>
        <w:tabs>
          <w:tab w:val="left" w:pos="567"/>
        </w:tabs>
        <w:spacing w:line="360" w:lineRule="auto"/>
        <w:ind w:left="0" w:firstLine="284"/>
        <w:rPr>
          <w:rFonts w:hint="eastAsia" w:cs="Arial" w:asciiTheme="minorEastAsia" w:hAnsiTheme="minorEastAsia"/>
          <w:sz w:val="24"/>
          <w:szCs w:val="28"/>
        </w:rPr>
      </w:pPr>
      <w:r>
        <w:rPr>
          <w:rFonts w:hint="eastAsia" w:cs="Arial" w:asciiTheme="minorEastAsia" w:hAnsiTheme="minorEastAsia"/>
          <w:sz w:val="24"/>
          <w:szCs w:val="28"/>
        </w:rPr>
        <w:t>建立区域药师审方中心，实现全区处方、医嘱的人工审核和有效干预，避免用药差错。</w:t>
      </w:r>
    </w:p>
    <w:p w14:paraId="718BA36E">
      <w:pPr>
        <w:widowControl/>
        <w:numPr>
          <w:ilvl w:val="0"/>
          <w:numId w:val="9"/>
        </w:numPr>
        <w:tabs>
          <w:tab w:val="left" w:pos="567"/>
        </w:tabs>
        <w:spacing w:line="360" w:lineRule="auto"/>
        <w:ind w:left="0" w:firstLine="284"/>
        <w:rPr>
          <w:rFonts w:hint="eastAsia" w:cs="Arial" w:asciiTheme="minorEastAsia" w:hAnsiTheme="minorEastAsia"/>
          <w:sz w:val="24"/>
          <w:szCs w:val="28"/>
        </w:rPr>
      </w:pPr>
      <w:r>
        <w:rPr>
          <w:rFonts w:hint="eastAsia" w:cs="Arial" w:asciiTheme="minorEastAsia" w:hAnsiTheme="minorEastAsia"/>
          <w:sz w:val="24"/>
          <w:szCs w:val="28"/>
        </w:rPr>
        <w:t xml:space="preserve">建立区域点评中心并统一点评规则，实现全区处方、医嘱抽样点评，深度挖掘各医疗机构潜在的不合理用药问题。 </w:t>
      </w:r>
    </w:p>
    <w:p w14:paraId="70C258DC">
      <w:pPr>
        <w:widowControl/>
        <w:numPr>
          <w:ilvl w:val="0"/>
          <w:numId w:val="9"/>
        </w:numPr>
        <w:tabs>
          <w:tab w:val="left" w:pos="567"/>
        </w:tabs>
        <w:spacing w:line="360" w:lineRule="auto"/>
        <w:ind w:left="0" w:firstLine="284"/>
        <w:rPr>
          <w:rFonts w:hint="eastAsia" w:cs="Arial" w:asciiTheme="minorEastAsia" w:hAnsiTheme="minorEastAsia"/>
          <w:sz w:val="24"/>
          <w:szCs w:val="28"/>
        </w:rPr>
      </w:pPr>
      <w:r>
        <w:rPr>
          <w:rFonts w:hint="eastAsia" w:cs="Arial" w:asciiTheme="minorEastAsia" w:hAnsiTheme="minorEastAsia"/>
          <w:sz w:val="24"/>
          <w:szCs w:val="28"/>
        </w:rPr>
        <w:t>建设区域共享药品知识库，让药学人员、医学人员使用统一知识库，便捷地查询临床用药相关信息，迅速解答用药疑问，形成合理的用药决策。</w:t>
      </w:r>
    </w:p>
    <w:p w14:paraId="6DF1C1EE">
      <w:pPr>
        <w:pStyle w:val="3"/>
        <w:numPr>
          <w:ilvl w:val="0"/>
          <w:numId w:val="4"/>
        </w:numPr>
        <w:spacing w:line="360" w:lineRule="auto"/>
        <w:rPr>
          <w:rFonts w:hint="eastAsia" w:asciiTheme="minorEastAsia" w:hAnsiTheme="minorEastAsia" w:eastAsiaTheme="minorEastAsia"/>
        </w:rPr>
      </w:pPr>
      <w:r>
        <w:rPr>
          <w:rFonts w:hint="eastAsia" w:asciiTheme="minorEastAsia" w:hAnsiTheme="minorEastAsia" w:eastAsiaTheme="minorEastAsia"/>
        </w:rPr>
        <w:t>安全需求分析</w:t>
      </w:r>
    </w:p>
    <w:p w14:paraId="10F0BF86">
      <w:pPr>
        <w:pStyle w:val="4"/>
        <w:numPr>
          <w:ilvl w:val="0"/>
          <w:numId w:val="10"/>
        </w:numPr>
        <w:spacing w:line="360" w:lineRule="auto"/>
        <w:rPr>
          <w:rFonts w:hint="eastAsia" w:asciiTheme="minorEastAsia" w:hAnsiTheme="minorEastAsia"/>
          <w:sz w:val="28"/>
          <w:szCs w:val="28"/>
        </w:rPr>
      </w:pPr>
      <w:r>
        <w:rPr>
          <w:rFonts w:hint="eastAsia" w:asciiTheme="minorEastAsia" w:hAnsiTheme="minorEastAsia"/>
          <w:sz w:val="28"/>
          <w:szCs w:val="28"/>
        </w:rPr>
        <w:t>物理和环境安全</w:t>
      </w:r>
    </w:p>
    <w:p w14:paraId="663D7885">
      <w:pPr>
        <w:spacing w:line="360" w:lineRule="auto"/>
        <w:ind w:firstLine="480" w:firstLineChars="200"/>
        <w:rPr>
          <w:rFonts w:hint="eastAsia" w:cs="Times New Roman" w:asciiTheme="minorEastAsia" w:hAnsiTheme="minorEastAsia"/>
          <w:b/>
          <w:sz w:val="24"/>
          <w:szCs w:val="24"/>
        </w:rPr>
      </w:pPr>
      <w:r>
        <w:rPr>
          <w:rFonts w:hint="eastAsia" w:asciiTheme="minorEastAsia" w:hAnsiTheme="minorEastAsia"/>
          <w:sz w:val="24"/>
          <w:szCs w:val="24"/>
        </w:rPr>
        <w:t>为确保系统稳定运行并有效抵御外部物理安全风险，系统应严格部署于经过精心规划的安全物理环境中。此环境不仅需要配备高性能防火墙与先进的入侵检测系统，还需考虑自然灾害防护、电力供应冗余及物理访问控制等因素，以形成坚实的物理防护屏障，有效抵御来自外部的物理安全风险。</w:t>
      </w:r>
    </w:p>
    <w:p w14:paraId="60E4F5FC">
      <w:pPr>
        <w:pStyle w:val="4"/>
        <w:numPr>
          <w:ilvl w:val="0"/>
          <w:numId w:val="10"/>
        </w:numPr>
        <w:spacing w:line="360" w:lineRule="auto"/>
        <w:rPr>
          <w:rFonts w:hint="eastAsia" w:asciiTheme="minorEastAsia" w:hAnsiTheme="minorEastAsia"/>
          <w:sz w:val="28"/>
          <w:szCs w:val="28"/>
        </w:rPr>
      </w:pPr>
      <w:r>
        <w:rPr>
          <w:rFonts w:hint="eastAsia" w:asciiTheme="minorEastAsia" w:hAnsiTheme="minorEastAsia"/>
          <w:sz w:val="28"/>
          <w:szCs w:val="28"/>
        </w:rPr>
        <w:t>设备和计算安全</w:t>
      </w:r>
    </w:p>
    <w:p w14:paraId="5F457895">
      <w:pPr>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对硬件设备进行安全加固，具体措施包括但不限于设置难以破解的强密码、定期更新补丁、定期安全检查和评估等措施。同时，应严格限制非授权访问，确保设备和计算环境的安全。</w:t>
      </w:r>
    </w:p>
    <w:p w14:paraId="6C285444">
      <w:pPr>
        <w:pStyle w:val="4"/>
        <w:numPr>
          <w:ilvl w:val="0"/>
          <w:numId w:val="10"/>
        </w:numPr>
        <w:spacing w:line="360" w:lineRule="auto"/>
        <w:rPr>
          <w:rFonts w:hint="eastAsia" w:asciiTheme="minorEastAsia" w:hAnsiTheme="minorEastAsia"/>
          <w:sz w:val="28"/>
          <w:szCs w:val="28"/>
        </w:rPr>
      </w:pPr>
      <w:r>
        <w:rPr>
          <w:rFonts w:hint="eastAsia" w:asciiTheme="minorEastAsia" w:hAnsiTheme="minorEastAsia"/>
          <w:sz w:val="28"/>
          <w:szCs w:val="28"/>
        </w:rPr>
        <w:t>应用与数据安全</w:t>
      </w:r>
    </w:p>
    <w:p w14:paraId="072FC60C">
      <w:pPr>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系统应实现用户身份认证和权限管理，确保每位用户仅能访问其权限范围内的资源。系统加密存储敏感数据，并遵循密钥安全规范，确保应用、数据和密钥在生成、存储、使用过程中的安全性。</w:t>
      </w:r>
    </w:p>
    <w:p w14:paraId="3BEF67D2">
      <w:pPr>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系统应按照信息安全三级等级保护测评（以下简称“三级等保”）进行了设计。支持身份鉴别、访问控制、安全审计、入侵防范、恶意代码防范、可信验证、数据完整性、数据保密性、数据备份恢复、剩余信息保护、个人信息保护等方面的安全防护能力。</w:t>
      </w:r>
    </w:p>
    <w:p w14:paraId="24678540">
      <w:pPr>
        <w:pStyle w:val="4"/>
        <w:numPr>
          <w:ilvl w:val="0"/>
          <w:numId w:val="10"/>
        </w:numPr>
        <w:spacing w:line="360" w:lineRule="auto"/>
        <w:rPr>
          <w:rFonts w:hint="eastAsia" w:asciiTheme="minorEastAsia" w:hAnsiTheme="minorEastAsia"/>
          <w:sz w:val="28"/>
          <w:szCs w:val="28"/>
        </w:rPr>
      </w:pPr>
      <w:r>
        <w:rPr>
          <w:rFonts w:hint="eastAsia" w:asciiTheme="minorEastAsia" w:hAnsiTheme="minorEastAsia"/>
          <w:sz w:val="28"/>
          <w:szCs w:val="28"/>
        </w:rPr>
        <w:t>网络与通信安全</w:t>
      </w:r>
    </w:p>
    <w:p w14:paraId="4ECD6CA3">
      <w:pPr>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采用安全的网络通信协议和加密处理，传输数据进行加密处理，防止数据在传输过程中被窃取或篡改。同时，设置网络防护措施，以隔离外部网络威胁，保障内部网络通信的安全。</w:t>
      </w:r>
    </w:p>
    <w:p w14:paraId="269734F4">
      <w:pPr>
        <w:pStyle w:val="4"/>
        <w:numPr>
          <w:ilvl w:val="0"/>
          <w:numId w:val="10"/>
        </w:numPr>
        <w:spacing w:line="360" w:lineRule="auto"/>
        <w:rPr>
          <w:rFonts w:hint="eastAsia" w:asciiTheme="minorEastAsia" w:hAnsiTheme="minorEastAsia"/>
          <w:sz w:val="28"/>
          <w:szCs w:val="28"/>
        </w:rPr>
      </w:pPr>
      <w:r>
        <w:rPr>
          <w:rFonts w:hint="eastAsia" w:asciiTheme="minorEastAsia" w:hAnsiTheme="minorEastAsia"/>
          <w:sz w:val="28"/>
          <w:szCs w:val="28"/>
        </w:rPr>
        <w:t>安全管理</w:t>
      </w:r>
    </w:p>
    <w:p w14:paraId="414AEE14">
      <w:pPr>
        <w:widowControl/>
        <w:spacing w:line="360" w:lineRule="auto"/>
        <w:ind w:firstLine="480"/>
        <w:rPr>
          <w:rFonts w:hint="eastAsia" w:asciiTheme="minorEastAsia" w:hAnsiTheme="minorEastAsia"/>
          <w:sz w:val="24"/>
          <w:szCs w:val="24"/>
        </w:rPr>
      </w:pPr>
      <w:r>
        <w:rPr>
          <w:rFonts w:hint="eastAsia" w:asciiTheme="minorEastAsia" w:hAnsiTheme="minorEastAsia"/>
          <w:sz w:val="24"/>
          <w:szCs w:val="24"/>
        </w:rPr>
        <w:t>设立安全管理团队，制定安全管理制度和操作规范，定期开展网络安全培训活动，提高内部人员的安全意识和操作技能，建立统一的安全管理平台，实现对全院范围内安全事件的集中监控、预警与快速响应，提高安全事件的响应速度和处理效率。</w:t>
      </w:r>
      <w:r>
        <w:rPr>
          <w:rFonts w:asciiTheme="minorEastAsia" w:hAnsiTheme="minorEastAsia"/>
          <w:sz w:val="24"/>
          <w:szCs w:val="24"/>
        </w:rPr>
        <w:br w:type="page"/>
      </w:r>
    </w:p>
    <w:p w14:paraId="7C8AAC65">
      <w:pPr>
        <w:pStyle w:val="2"/>
        <w:spacing w:before="0" w:after="0" w:line="360" w:lineRule="auto"/>
        <w:jc w:val="center"/>
        <w:rPr>
          <w:rFonts w:hint="eastAsia" w:asciiTheme="minorEastAsia" w:hAnsiTheme="minorEastAsia"/>
          <w:kern w:val="28"/>
        </w:rPr>
      </w:pPr>
      <w:r>
        <w:rPr>
          <w:rFonts w:asciiTheme="minorEastAsia" w:hAnsiTheme="minorEastAsia"/>
          <w:kern w:val="28"/>
        </w:rPr>
        <w:t>第</w:t>
      </w:r>
      <w:r>
        <w:rPr>
          <w:rFonts w:hint="eastAsia" w:asciiTheme="minorEastAsia" w:hAnsiTheme="minorEastAsia"/>
          <w:kern w:val="28"/>
        </w:rPr>
        <w:t>三</w:t>
      </w:r>
      <w:r>
        <w:rPr>
          <w:rFonts w:asciiTheme="minorEastAsia" w:hAnsiTheme="minorEastAsia"/>
          <w:kern w:val="28"/>
        </w:rPr>
        <w:t>部分</w:t>
      </w:r>
      <w:r>
        <w:rPr>
          <w:rFonts w:hint="eastAsia" w:asciiTheme="minorEastAsia" w:hAnsiTheme="minorEastAsia"/>
          <w:kern w:val="28"/>
        </w:rPr>
        <w:t xml:space="preserve">  建设方案</w:t>
      </w:r>
    </w:p>
    <w:p w14:paraId="46ECD313">
      <w:pPr>
        <w:keepNext/>
        <w:keepLines/>
        <w:numPr>
          <w:ilvl w:val="0"/>
          <w:numId w:val="11"/>
        </w:numPr>
        <w:spacing w:before="260" w:after="260" w:line="360" w:lineRule="auto"/>
        <w:outlineLvl w:val="1"/>
        <w:rPr>
          <w:rFonts w:hint="eastAsia" w:asciiTheme="minorEastAsia" w:hAnsiTheme="minorEastAsia" w:cstheme="majorBidi"/>
          <w:b/>
          <w:bCs/>
          <w:sz w:val="32"/>
          <w:szCs w:val="32"/>
        </w:rPr>
      </w:pPr>
      <w:r>
        <w:rPr>
          <w:rFonts w:asciiTheme="minorEastAsia" w:hAnsiTheme="minorEastAsia" w:cstheme="majorBidi"/>
          <w:b/>
          <w:bCs/>
          <w:sz w:val="32"/>
          <w:szCs w:val="32"/>
        </w:rPr>
        <w:t>建设目标</w:t>
      </w:r>
    </w:p>
    <w:p w14:paraId="066A497C">
      <w:pPr>
        <w:pStyle w:val="4"/>
        <w:numPr>
          <w:ilvl w:val="0"/>
          <w:numId w:val="12"/>
        </w:numPr>
        <w:spacing w:line="360" w:lineRule="auto"/>
        <w:rPr>
          <w:rFonts w:hint="eastAsia" w:asciiTheme="minorEastAsia" w:hAnsiTheme="minorEastAsia"/>
          <w:sz w:val="28"/>
          <w:szCs w:val="28"/>
        </w:rPr>
      </w:pPr>
      <w:r>
        <w:rPr>
          <w:rFonts w:hint="eastAsia" w:asciiTheme="minorEastAsia" w:hAnsiTheme="minorEastAsia"/>
          <w:sz w:val="28"/>
          <w:szCs w:val="28"/>
        </w:rPr>
        <w:t>总体目标</w:t>
      </w:r>
      <w:bookmarkStart w:id="30" w:name="OLE_LINK7"/>
    </w:p>
    <w:p w14:paraId="3691DBC3">
      <w:pPr>
        <w:spacing w:line="360" w:lineRule="auto"/>
        <w:ind w:firstLine="480" w:firstLineChars="200"/>
        <w:rPr>
          <w:rFonts w:hint="eastAsia" w:asciiTheme="minorEastAsia" w:hAnsiTheme="minorEastAsia"/>
          <w:sz w:val="24"/>
        </w:rPr>
      </w:pPr>
      <w:r>
        <w:rPr>
          <w:rFonts w:hint="eastAsia" w:asciiTheme="minorEastAsia" w:hAnsiTheme="minorEastAsia"/>
          <w:sz w:val="24"/>
        </w:rPr>
        <w:t>构建全区一体化合理用药管理平台，该平台不仅能帮助药学人员快速开展跨机构合理用药审查、前置审方和处方点评等工作，还能促进统一标准的药品知识库、药品审查规则库等数据库的建立，使得各医疗机构能够开展同质化的药学服务，大大提升基层医疗机构合理用药整体水平，保障患者用药安全。</w:t>
      </w:r>
    </w:p>
    <w:p w14:paraId="14A886C8">
      <w:pPr>
        <w:pStyle w:val="4"/>
        <w:numPr>
          <w:ilvl w:val="0"/>
          <w:numId w:val="12"/>
        </w:numPr>
        <w:spacing w:line="360" w:lineRule="auto"/>
        <w:rPr>
          <w:rFonts w:hint="eastAsia" w:asciiTheme="minorEastAsia" w:hAnsiTheme="minorEastAsia"/>
          <w:sz w:val="28"/>
          <w:szCs w:val="28"/>
        </w:rPr>
      </w:pPr>
      <w:r>
        <w:rPr>
          <w:rFonts w:hint="eastAsia" w:asciiTheme="minorEastAsia" w:hAnsiTheme="minorEastAsia"/>
          <w:sz w:val="28"/>
          <w:szCs w:val="28"/>
        </w:rPr>
        <w:t>分项目标</w:t>
      </w:r>
    </w:p>
    <w:bookmarkEnd w:id="30"/>
    <w:p w14:paraId="1BF78D55">
      <w:pPr>
        <w:widowControl/>
        <w:numPr>
          <w:ilvl w:val="0"/>
          <w:numId w:val="13"/>
        </w:numPr>
        <w:tabs>
          <w:tab w:val="left" w:pos="567"/>
        </w:tabs>
        <w:spacing w:line="360" w:lineRule="auto"/>
        <w:ind w:left="0" w:firstLine="284"/>
        <w:rPr>
          <w:rFonts w:hint="eastAsia" w:cs="Arial" w:asciiTheme="minorEastAsia" w:hAnsiTheme="minorEastAsia"/>
          <w:sz w:val="24"/>
          <w:szCs w:val="28"/>
        </w:rPr>
      </w:pPr>
      <w:bookmarkStart w:id="31" w:name="OLE_LINK2"/>
      <w:bookmarkStart w:id="32" w:name="OLE_LINK1"/>
      <w:r>
        <w:rPr>
          <w:rFonts w:hint="eastAsia" w:cs="Arial" w:asciiTheme="minorEastAsia" w:hAnsiTheme="minorEastAsia"/>
          <w:sz w:val="24"/>
          <w:szCs w:val="28"/>
        </w:rPr>
        <w:t>建设区域用药数据监控中心，对全区范围内各医疗机构的重点指标进行监控，并</w:t>
      </w:r>
      <w:r>
        <w:rPr>
          <w:rFonts w:cs="Arial" w:asciiTheme="minorEastAsia" w:hAnsiTheme="minorEastAsia"/>
          <w:sz w:val="24"/>
          <w:szCs w:val="28"/>
        </w:rPr>
        <w:t>通过可视化大屏界面</w:t>
      </w:r>
      <w:r>
        <w:rPr>
          <w:rFonts w:hint="eastAsia" w:cs="Arial" w:asciiTheme="minorEastAsia" w:hAnsiTheme="minorEastAsia"/>
          <w:sz w:val="24"/>
          <w:szCs w:val="28"/>
        </w:rPr>
        <w:t>直观展示全区关键用药指标，为管理者提供强有力的数据支持。</w:t>
      </w:r>
      <w:bookmarkStart w:id="33" w:name="OLE_LINK20"/>
      <w:bookmarkStart w:id="34" w:name="OLE_LINK19"/>
    </w:p>
    <w:p w14:paraId="0FBB3547">
      <w:pPr>
        <w:widowControl/>
        <w:numPr>
          <w:ilvl w:val="0"/>
          <w:numId w:val="13"/>
        </w:numPr>
        <w:tabs>
          <w:tab w:val="left" w:pos="567"/>
        </w:tabs>
        <w:spacing w:line="360" w:lineRule="auto"/>
        <w:ind w:left="0" w:firstLine="284"/>
        <w:rPr>
          <w:rFonts w:hint="eastAsia" w:cs="Arial" w:asciiTheme="minorEastAsia" w:hAnsiTheme="minorEastAsia"/>
          <w:sz w:val="24"/>
          <w:szCs w:val="28"/>
        </w:rPr>
      </w:pPr>
      <w:r>
        <w:rPr>
          <w:rFonts w:hint="eastAsia" w:cs="Arial" w:asciiTheme="minorEastAsia" w:hAnsiTheme="minorEastAsia"/>
          <w:sz w:val="24"/>
          <w:szCs w:val="28"/>
        </w:rPr>
        <w:t>建设区域共享患者档案，让药学人员能快速查看患者在全区范围内的就诊信息，全面了解患者的病史、健康状况和药物治疗全过程，从而向患者提供更加精准地个体化药学服务。</w:t>
      </w:r>
      <w:bookmarkEnd w:id="33"/>
      <w:bookmarkEnd w:id="34"/>
    </w:p>
    <w:p w14:paraId="20477050">
      <w:pPr>
        <w:widowControl/>
        <w:numPr>
          <w:ilvl w:val="0"/>
          <w:numId w:val="13"/>
        </w:numPr>
        <w:tabs>
          <w:tab w:val="left" w:pos="567"/>
        </w:tabs>
        <w:spacing w:line="360" w:lineRule="auto"/>
        <w:ind w:left="0" w:firstLine="284"/>
        <w:rPr>
          <w:rFonts w:hint="eastAsia" w:cs="Arial" w:asciiTheme="minorEastAsia" w:hAnsiTheme="minorEastAsia"/>
          <w:sz w:val="24"/>
          <w:szCs w:val="28"/>
        </w:rPr>
      </w:pPr>
      <w:r>
        <w:rPr>
          <w:rFonts w:hint="eastAsia" w:cs="Arial" w:asciiTheme="minorEastAsia" w:hAnsiTheme="minorEastAsia"/>
          <w:sz w:val="24"/>
          <w:szCs w:val="28"/>
        </w:rPr>
        <w:t>建设区域合理用药审查中心和全区统一的药品审查库，结合患者在全区范围内所有的处方、医嘱、过敏等重要就诊信息实现跨机构合理用药审查，精准定位不合理用药问题。</w:t>
      </w:r>
    </w:p>
    <w:bookmarkEnd w:id="31"/>
    <w:bookmarkEnd w:id="32"/>
    <w:p w14:paraId="6FAC75BE">
      <w:pPr>
        <w:widowControl/>
        <w:numPr>
          <w:ilvl w:val="0"/>
          <w:numId w:val="13"/>
        </w:numPr>
        <w:tabs>
          <w:tab w:val="left" w:pos="567"/>
        </w:tabs>
        <w:spacing w:line="360" w:lineRule="auto"/>
        <w:ind w:left="0" w:firstLine="284"/>
        <w:rPr>
          <w:rFonts w:hint="eastAsia" w:cs="Arial" w:asciiTheme="minorEastAsia" w:hAnsiTheme="minorEastAsia"/>
          <w:sz w:val="24"/>
          <w:szCs w:val="28"/>
        </w:rPr>
      </w:pPr>
      <w:r>
        <w:rPr>
          <w:rFonts w:hint="eastAsia" w:cs="Arial" w:asciiTheme="minorEastAsia" w:hAnsiTheme="minorEastAsia"/>
          <w:sz w:val="24"/>
          <w:szCs w:val="28"/>
        </w:rPr>
        <w:t>建设区域审方中心，配备专业药学人员对全区域处方、医嘱进行审核，及时发现</w:t>
      </w:r>
      <w:bookmarkStart w:id="35" w:name="OLE_LINK3"/>
      <w:bookmarkStart w:id="36" w:name="OLE_LINK4"/>
      <w:r>
        <w:rPr>
          <w:rFonts w:hint="eastAsia" w:cs="Arial" w:asciiTheme="minorEastAsia" w:hAnsiTheme="minorEastAsia"/>
          <w:sz w:val="24"/>
          <w:szCs w:val="28"/>
        </w:rPr>
        <w:t>各医疗机构</w:t>
      </w:r>
      <w:bookmarkEnd w:id="35"/>
      <w:bookmarkEnd w:id="36"/>
      <w:r>
        <w:rPr>
          <w:rFonts w:hint="eastAsia" w:cs="Arial" w:asciiTheme="minorEastAsia" w:hAnsiTheme="minorEastAsia"/>
          <w:sz w:val="24"/>
          <w:szCs w:val="28"/>
        </w:rPr>
        <w:t>不合理用药问题并进行有效干预，避免用药差错，提升用药效果。</w:t>
      </w:r>
    </w:p>
    <w:p w14:paraId="462DDB35">
      <w:pPr>
        <w:widowControl/>
        <w:numPr>
          <w:ilvl w:val="0"/>
          <w:numId w:val="13"/>
        </w:numPr>
        <w:tabs>
          <w:tab w:val="left" w:pos="567"/>
        </w:tabs>
        <w:spacing w:line="360" w:lineRule="auto"/>
        <w:ind w:left="0" w:firstLine="284"/>
        <w:rPr>
          <w:rFonts w:hint="eastAsia" w:cs="Arial" w:asciiTheme="minorEastAsia" w:hAnsiTheme="minorEastAsia"/>
          <w:sz w:val="24"/>
          <w:szCs w:val="28"/>
        </w:rPr>
      </w:pPr>
      <w:r>
        <w:rPr>
          <w:rFonts w:hint="eastAsia" w:cs="Arial" w:asciiTheme="minorEastAsia" w:hAnsiTheme="minorEastAsia"/>
          <w:sz w:val="24"/>
          <w:szCs w:val="28"/>
        </w:rPr>
        <w:t>建设区域点评质控中心，配备专业药学人员对全区域处方、医嘱开展跨机构抽样点评，深度挖掘基层医疗机构潜在的不合理用药问题，</w:t>
      </w:r>
      <w:r>
        <w:rPr>
          <w:rFonts w:cs="Arial" w:asciiTheme="minorEastAsia" w:hAnsiTheme="minorEastAsia"/>
          <w:sz w:val="24"/>
          <w:szCs w:val="28"/>
        </w:rPr>
        <w:t>制定更加合理的药品</w:t>
      </w:r>
      <w:r>
        <w:rPr>
          <w:rFonts w:hint="eastAsia" w:cs="Arial" w:asciiTheme="minorEastAsia" w:hAnsiTheme="minorEastAsia"/>
          <w:sz w:val="24"/>
          <w:szCs w:val="28"/>
        </w:rPr>
        <w:t>审查</w:t>
      </w:r>
      <w:r>
        <w:rPr>
          <w:rFonts w:cs="Arial" w:asciiTheme="minorEastAsia" w:hAnsiTheme="minorEastAsia"/>
          <w:sz w:val="24"/>
          <w:szCs w:val="28"/>
        </w:rPr>
        <w:t>规则和用药管理</w:t>
      </w:r>
      <w:r>
        <w:rPr>
          <w:rFonts w:hint="eastAsia" w:cs="Arial" w:asciiTheme="minorEastAsia" w:hAnsiTheme="minorEastAsia"/>
          <w:sz w:val="24"/>
          <w:szCs w:val="28"/>
        </w:rPr>
        <w:t>制度</w:t>
      </w:r>
      <w:r>
        <w:rPr>
          <w:rFonts w:cs="Arial" w:asciiTheme="minorEastAsia" w:hAnsiTheme="minorEastAsia"/>
          <w:sz w:val="24"/>
          <w:szCs w:val="28"/>
        </w:rPr>
        <w:t>。</w:t>
      </w:r>
    </w:p>
    <w:p w14:paraId="41E4DD8C">
      <w:pPr>
        <w:widowControl/>
        <w:numPr>
          <w:ilvl w:val="0"/>
          <w:numId w:val="13"/>
        </w:numPr>
        <w:tabs>
          <w:tab w:val="left" w:pos="567"/>
        </w:tabs>
        <w:spacing w:line="360" w:lineRule="auto"/>
        <w:ind w:left="0" w:firstLine="284"/>
        <w:rPr>
          <w:rFonts w:hint="eastAsia" w:cs="Arial" w:asciiTheme="minorEastAsia" w:hAnsiTheme="minorEastAsia"/>
          <w:sz w:val="24"/>
          <w:szCs w:val="28"/>
        </w:rPr>
      </w:pPr>
      <w:r>
        <w:rPr>
          <w:rFonts w:hint="eastAsia" w:cs="Arial" w:asciiTheme="minorEastAsia" w:hAnsiTheme="minorEastAsia"/>
          <w:sz w:val="24"/>
          <w:szCs w:val="28"/>
        </w:rPr>
        <w:t>建设区域共享药品知识库，让药学人员、医学人员能够便捷地查询临床用药相关信息，迅速解答用药疑问，形成合理的用药决策。</w:t>
      </w:r>
    </w:p>
    <w:p w14:paraId="560E9AF1">
      <w:pPr>
        <w:keepNext/>
        <w:keepLines/>
        <w:numPr>
          <w:ilvl w:val="0"/>
          <w:numId w:val="11"/>
        </w:numPr>
        <w:spacing w:before="260" w:after="260" w:line="360" w:lineRule="auto"/>
        <w:outlineLvl w:val="1"/>
        <w:rPr>
          <w:rFonts w:hint="eastAsia" w:asciiTheme="minorEastAsia" w:hAnsiTheme="minorEastAsia" w:cstheme="majorBidi"/>
          <w:b/>
          <w:bCs/>
          <w:sz w:val="32"/>
          <w:szCs w:val="32"/>
        </w:rPr>
      </w:pPr>
      <w:r>
        <w:rPr>
          <w:rFonts w:hint="eastAsia" w:asciiTheme="minorEastAsia" w:hAnsiTheme="minorEastAsia" w:cstheme="majorBidi"/>
          <w:b/>
          <w:bCs/>
          <w:sz w:val="32"/>
          <w:szCs w:val="32"/>
        </w:rPr>
        <w:t>建设内容</w:t>
      </w:r>
    </w:p>
    <w:p w14:paraId="0332BADC">
      <w:pPr>
        <w:pStyle w:val="4"/>
        <w:numPr>
          <w:ilvl w:val="0"/>
          <w:numId w:val="14"/>
        </w:numPr>
        <w:spacing w:line="360" w:lineRule="auto"/>
        <w:rPr>
          <w:rFonts w:hint="eastAsia" w:asciiTheme="minorEastAsia" w:hAnsiTheme="minorEastAsia"/>
          <w:sz w:val="28"/>
          <w:szCs w:val="28"/>
        </w:rPr>
      </w:pPr>
      <w:r>
        <w:rPr>
          <w:rFonts w:hint="eastAsia" w:asciiTheme="minorEastAsia" w:hAnsiTheme="minorEastAsia"/>
          <w:sz w:val="28"/>
          <w:szCs w:val="28"/>
        </w:rPr>
        <w:t>区域监控中心及监控大屏</w:t>
      </w:r>
    </w:p>
    <w:p w14:paraId="4C37366E">
      <w:pPr>
        <w:pStyle w:val="43"/>
        <w:numPr>
          <w:ilvl w:val="1"/>
          <w:numId w:val="15"/>
        </w:numPr>
        <w:spacing w:line="360" w:lineRule="auto"/>
        <w:ind w:left="568" w:hanging="284" w:firstLineChars="0"/>
        <w:rPr>
          <w:rFonts w:hint="eastAsia" w:asciiTheme="minorEastAsia" w:hAnsiTheme="minorEastAsia"/>
          <w:b/>
          <w:bCs/>
          <w:sz w:val="24"/>
          <w:szCs w:val="24"/>
        </w:rPr>
      </w:pPr>
      <w:r>
        <w:rPr>
          <w:rFonts w:hint="eastAsia" w:asciiTheme="minorEastAsia" w:hAnsiTheme="minorEastAsia"/>
          <w:b/>
          <w:bCs/>
          <w:sz w:val="24"/>
          <w:szCs w:val="24"/>
        </w:rPr>
        <w:t>区域监控中心</w:t>
      </w:r>
    </w:p>
    <w:p w14:paraId="7D2FEFC1">
      <w:pPr>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系统内设区域监控中心，可实现全区范围内关键用药指标的智能监控，具体监控内容如下：</w:t>
      </w:r>
    </w:p>
    <w:p w14:paraId="330DAF22">
      <w:pPr>
        <w:pStyle w:val="43"/>
        <w:numPr>
          <w:ilvl w:val="0"/>
          <w:numId w:val="16"/>
        </w:numPr>
        <w:spacing w:line="360" w:lineRule="auto"/>
        <w:ind w:firstLineChars="0"/>
        <w:rPr>
          <w:rFonts w:hint="eastAsia" w:asciiTheme="minorEastAsia" w:hAnsiTheme="minorEastAsia"/>
          <w:b/>
          <w:bCs/>
          <w:sz w:val="24"/>
          <w:szCs w:val="24"/>
        </w:rPr>
      </w:pPr>
      <w:r>
        <w:rPr>
          <w:rFonts w:hint="eastAsia" w:asciiTheme="minorEastAsia" w:hAnsiTheme="minorEastAsia"/>
          <w:b/>
          <w:bCs/>
          <w:sz w:val="24"/>
          <w:szCs w:val="24"/>
        </w:rPr>
        <w:t>处方自动审核</w:t>
      </w:r>
    </w:p>
    <w:p w14:paraId="2F04741C">
      <w:pPr>
        <w:spacing w:line="360" w:lineRule="auto"/>
        <w:ind w:firstLine="720" w:firstLineChars="300"/>
        <w:rPr>
          <w:rFonts w:hint="eastAsia" w:asciiTheme="minorEastAsia" w:hAnsiTheme="minorEastAsia"/>
          <w:sz w:val="24"/>
          <w:szCs w:val="24"/>
        </w:rPr>
      </w:pPr>
      <w:r>
        <w:rPr>
          <w:rFonts w:hint="eastAsia" w:asciiTheme="minorEastAsia" w:hAnsiTheme="minorEastAsia"/>
          <w:sz w:val="24"/>
          <w:szCs w:val="24"/>
        </w:rPr>
        <w:t>监控</w:t>
      </w:r>
      <w:r>
        <w:rPr>
          <w:rFonts w:asciiTheme="minorEastAsia" w:hAnsiTheme="minorEastAsia"/>
          <w:sz w:val="24"/>
          <w:szCs w:val="24"/>
        </w:rPr>
        <w:t>全区合理用药审核情况，包括：</w:t>
      </w:r>
    </w:p>
    <w:p w14:paraId="58E717F5">
      <w:pPr>
        <w:pStyle w:val="71"/>
        <w:numPr>
          <w:ilvl w:val="1"/>
          <w:numId w:val="17"/>
        </w:numPr>
        <w:spacing w:before="0" w:after="0"/>
        <w:ind w:hanging="141"/>
        <w:rPr>
          <w:rFonts w:hint="eastAsia" w:asciiTheme="minorEastAsia" w:hAnsiTheme="minorEastAsia" w:eastAsiaTheme="minorEastAsia"/>
          <w:b w:val="0"/>
          <w:bCs/>
          <w:sz w:val="24"/>
          <w:szCs w:val="24"/>
        </w:rPr>
      </w:pPr>
      <w:r>
        <w:rPr>
          <w:rFonts w:asciiTheme="minorEastAsia" w:hAnsiTheme="minorEastAsia" w:eastAsiaTheme="minorEastAsia"/>
          <w:b w:val="0"/>
          <w:bCs/>
          <w:sz w:val="24"/>
          <w:szCs w:val="24"/>
        </w:rPr>
        <w:t>门诊总处方数统计</w:t>
      </w:r>
    </w:p>
    <w:p w14:paraId="348EFE47">
      <w:pPr>
        <w:pStyle w:val="71"/>
        <w:numPr>
          <w:ilvl w:val="1"/>
          <w:numId w:val="17"/>
        </w:numPr>
        <w:spacing w:before="0" w:after="0"/>
        <w:ind w:hanging="141"/>
        <w:rPr>
          <w:rFonts w:hint="eastAsia" w:asciiTheme="minorEastAsia" w:hAnsiTheme="minorEastAsia" w:eastAsiaTheme="minorEastAsia"/>
          <w:b w:val="0"/>
          <w:bCs/>
          <w:sz w:val="24"/>
          <w:szCs w:val="24"/>
        </w:rPr>
      </w:pPr>
      <w:r>
        <w:rPr>
          <w:rFonts w:hint="eastAsia" w:asciiTheme="minorEastAsia" w:hAnsiTheme="minorEastAsia" w:eastAsiaTheme="minorEastAsia"/>
          <w:b w:val="0"/>
          <w:bCs/>
          <w:sz w:val="24"/>
          <w:szCs w:val="24"/>
        </w:rPr>
        <w:t>门诊/住院系统审查问题统计</w:t>
      </w:r>
    </w:p>
    <w:p w14:paraId="6CBDAF53">
      <w:pPr>
        <w:pStyle w:val="71"/>
        <w:numPr>
          <w:ilvl w:val="1"/>
          <w:numId w:val="17"/>
        </w:numPr>
        <w:spacing w:before="0" w:after="0"/>
        <w:ind w:hanging="141"/>
        <w:rPr>
          <w:rFonts w:hint="eastAsia" w:asciiTheme="minorEastAsia" w:hAnsiTheme="minorEastAsia" w:eastAsiaTheme="minorEastAsia"/>
          <w:b w:val="0"/>
          <w:bCs/>
          <w:sz w:val="24"/>
          <w:szCs w:val="24"/>
        </w:rPr>
      </w:pPr>
      <w:r>
        <w:rPr>
          <w:rFonts w:hint="eastAsia" w:asciiTheme="minorEastAsia" w:hAnsiTheme="minorEastAsia" w:eastAsiaTheme="minorEastAsia"/>
          <w:b w:val="0"/>
          <w:bCs/>
          <w:sz w:val="24"/>
          <w:szCs w:val="24"/>
        </w:rPr>
        <w:t>门诊/住院问题处方医疗机构排名</w:t>
      </w:r>
    </w:p>
    <w:p w14:paraId="43FBF292">
      <w:pPr>
        <w:pStyle w:val="71"/>
        <w:numPr>
          <w:ilvl w:val="1"/>
          <w:numId w:val="17"/>
        </w:numPr>
        <w:spacing w:before="0" w:after="0"/>
        <w:ind w:hanging="141"/>
        <w:rPr>
          <w:rFonts w:hint="eastAsia" w:asciiTheme="minorEastAsia" w:hAnsiTheme="minorEastAsia" w:eastAsiaTheme="minorEastAsia"/>
          <w:b w:val="0"/>
          <w:bCs/>
          <w:sz w:val="24"/>
          <w:szCs w:val="24"/>
        </w:rPr>
      </w:pPr>
      <w:r>
        <w:rPr>
          <w:rFonts w:asciiTheme="minorEastAsia" w:hAnsiTheme="minorEastAsia" w:eastAsiaTheme="minorEastAsia"/>
          <w:b w:val="0"/>
          <w:bCs/>
          <w:sz w:val="24"/>
          <w:szCs w:val="24"/>
        </w:rPr>
        <w:t>审查问题统计</w:t>
      </w:r>
    </w:p>
    <w:p w14:paraId="3395A8C7">
      <w:pPr>
        <w:pStyle w:val="43"/>
        <w:numPr>
          <w:ilvl w:val="0"/>
          <w:numId w:val="16"/>
        </w:numPr>
        <w:spacing w:line="360" w:lineRule="auto"/>
        <w:ind w:firstLineChars="0"/>
        <w:rPr>
          <w:rFonts w:hint="eastAsia" w:asciiTheme="minorEastAsia" w:hAnsiTheme="minorEastAsia"/>
          <w:b/>
          <w:bCs/>
          <w:sz w:val="24"/>
          <w:szCs w:val="24"/>
        </w:rPr>
      </w:pPr>
      <w:r>
        <w:rPr>
          <w:rFonts w:hint="eastAsia" w:asciiTheme="minorEastAsia" w:hAnsiTheme="minorEastAsia"/>
          <w:b/>
          <w:bCs/>
          <w:sz w:val="24"/>
          <w:szCs w:val="24"/>
        </w:rPr>
        <w:t>药师审方</w:t>
      </w:r>
    </w:p>
    <w:p w14:paraId="0F7896B0">
      <w:pPr>
        <w:spacing w:line="360" w:lineRule="auto"/>
        <w:ind w:left="420" w:firstLine="480" w:firstLineChars="200"/>
        <w:rPr>
          <w:rFonts w:hint="eastAsia" w:asciiTheme="minorEastAsia" w:hAnsiTheme="minorEastAsia"/>
          <w:sz w:val="24"/>
          <w:szCs w:val="24"/>
        </w:rPr>
      </w:pPr>
      <w:r>
        <w:rPr>
          <w:rFonts w:hint="eastAsia" w:asciiTheme="minorEastAsia" w:hAnsiTheme="minorEastAsia"/>
          <w:sz w:val="24"/>
          <w:szCs w:val="24"/>
        </w:rPr>
        <w:t>监控全区药师审方干预情况，包括：</w:t>
      </w:r>
    </w:p>
    <w:p w14:paraId="2039A0DA">
      <w:pPr>
        <w:pStyle w:val="69"/>
        <w:numPr>
          <w:ilvl w:val="1"/>
          <w:numId w:val="18"/>
        </w:numPr>
        <w:spacing w:before="0" w:after="0"/>
        <w:ind w:hanging="57"/>
        <w:rPr>
          <w:rFonts w:hint="eastAsia" w:asciiTheme="minorEastAsia" w:hAnsiTheme="minorEastAsia" w:eastAsiaTheme="minorEastAsia"/>
          <w:b w:val="0"/>
          <w:bCs/>
          <w:color w:val="000000" w:themeColor="text1"/>
          <w:sz w:val="24"/>
          <w:szCs w:val="24"/>
          <w14:textFill>
            <w14:solidFill>
              <w14:schemeClr w14:val="tx1"/>
            </w14:solidFill>
          </w14:textFill>
        </w:rPr>
      </w:pPr>
      <w:r>
        <w:rPr>
          <w:rFonts w:hint="eastAsia" w:asciiTheme="minorEastAsia" w:hAnsiTheme="minorEastAsia" w:eastAsiaTheme="minorEastAsia"/>
          <w:b w:val="0"/>
          <w:bCs/>
          <w:color w:val="000000" w:themeColor="text1"/>
          <w:sz w:val="24"/>
          <w:szCs w:val="24"/>
          <w14:textFill>
            <w14:solidFill>
              <w14:schemeClr w14:val="tx1"/>
            </w14:solidFill>
          </w14:textFill>
        </w:rPr>
        <w:t>处方/医嘱审核干预情况汇总</w:t>
      </w:r>
    </w:p>
    <w:p w14:paraId="5DDC8689">
      <w:pPr>
        <w:pStyle w:val="69"/>
        <w:numPr>
          <w:ilvl w:val="1"/>
          <w:numId w:val="18"/>
        </w:numPr>
        <w:spacing w:before="0" w:after="0"/>
        <w:ind w:hanging="57"/>
        <w:rPr>
          <w:rFonts w:hint="eastAsia" w:asciiTheme="minorEastAsia" w:hAnsiTheme="minorEastAsia" w:eastAsiaTheme="minorEastAsia"/>
          <w:b w:val="0"/>
          <w:bCs/>
          <w:color w:val="000000" w:themeColor="text1"/>
          <w:sz w:val="24"/>
          <w:szCs w:val="24"/>
          <w14:textFill>
            <w14:solidFill>
              <w14:schemeClr w14:val="tx1"/>
            </w14:solidFill>
          </w14:textFill>
        </w:rPr>
      </w:pPr>
      <w:r>
        <w:rPr>
          <w:rFonts w:hint="eastAsia" w:asciiTheme="minorEastAsia" w:hAnsiTheme="minorEastAsia" w:eastAsiaTheme="minorEastAsia"/>
          <w:b w:val="0"/>
          <w:bCs/>
          <w:color w:val="000000" w:themeColor="text1"/>
          <w:sz w:val="24"/>
          <w:szCs w:val="24"/>
          <w14:textFill>
            <w14:solidFill>
              <w14:schemeClr w14:val="tx1"/>
            </w14:solidFill>
          </w14:textFill>
        </w:rPr>
        <w:t>门诊/住院干预效果追踪</w:t>
      </w:r>
    </w:p>
    <w:p w14:paraId="70223093">
      <w:pPr>
        <w:pStyle w:val="69"/>
        <w:numPr>
          <w:ilvl w:val="1"/>
          <w:numId w:val="18"/>
        </w:numPr>
        <w:spacing w:before="0" w:after="0"/>
        <w:ind w:hanging="57"/>
        <w:rPr>
          <w:rFonts w:hint="eastAsia" w:asciiTheme="minorEastAsia" w:hAnsiTheme="minorEastAsia" w:eastAsiaTheme="minorEastAsia"/>
          <w:b w:val="0"/>
          <w:bCs/>
          <w:color w:val="000000" w:themeColor="text1"/>
          <w:sz w:val="24"/>
          <w:szCs w:val="24"/>
          <w14:textFill>
            <w14:solidFill>
              <w14:schemeClr w14:val="tx1"/>
            </w14:solidFill>
          </w14:textFill>
        </w:rPr>
      </w:pPr>
      <w:r>
        <w:rPr>
          <w:rFonts w:hint="eastAsia" w:asciiTheme="minorEastAsia" w:hAnsiTheme="minorEastAsia" w:eastAsiaTheme="minorEastAsia"/>
          <w:b w:val="0"/>
          <w:bCs/>
          <w:color w:val="000000" w:themeColor="text1"/>
          <w:sz w:val="24"/>
          <w:szCs w:val="24"/>
          <w14:textFill>
            <w14:solidFill>
              <w14:schemeClr w14:val="tx1"/>
            </w14:solidFill>
          </w14:textFill>
        </w:rPr>
        <w:t>门诊/住院今日动态监测</w:t>
      </w:r>
    </w:p>
    <w:p w14:paraId="45F1FD46">
      <w:pPr>
        <w:pStyle w:val="43"/>
        <w:numPr>
          <w:ilvl w:val="0"/>
          <w:numId w:val="16"/>
        </w:numPr>
        <w:spacing w:line="360" w:lineRule="auto"/>
        <w:ind w:firstLineChars="0"/>
        <w:rPr>
          <w:rFonts w:hint="eastAsia" w:asciiTheme="minorEastAsia" w:hAnsiTheme="minorEastAsia"/>
          <w:b/>
          <w:bCs/>
          <w:sz w:val="24"/>
          <w:szCs w:val="24"/>
        </w:rPr>
      </w:pPr>
      <w:r>
        <w:rPr>
          <w:rFonts w:hint="eastAsia" w:asciiTheme="minorEastAsia" w:hAnsiTheme="minorEastAsia"/>
          <w:b/>
          <w:bCs/>
          <w:sz w:val="24"/>
          <w:szCs w:val="24"/>
        </w:rPr>
        <w:t>处方点评指标</w:t>
      </w:r>
    </w:p>
    <w:p w14:paraId="6F8E4BE1">
      <w:pPr>
        <w:pStyle w:val="43"/>
        <w:spacing w:line="360" w:lineRule="auto"/>
        <w:ind w:left="840" w:firstLine="0" w:firstLineChars="0"/>
        <w:rPr>
          <w:rFonts w:hint="eastAsia" w:asciiTheme="minorEastAsia" w:hAnsiTheme="minorEastAsia"/>
          <w:sz w:val="24"/>
          <w:szCs w:val="24"/>
        </w:rPr>
      </w:pPr>
      <w:r>
        <w:rPr>
          <w:rFonts w:hint="eastAsia" w:asciiTheme="minorEastAsia" w:hAnsiTheme="minorEastAsia"/>
          <w:sz w:val="24"/>
          <w:szCs w:val="24"/>
        </w:rPr>
        <w:t>监控各医疗机构处方点评合理率、合格率，包括：</w:t>
      </w:r>
    </w:p>
    <w:p w14:paraId="4101F4B1">
      <w:pPr>
        <w:pStyle w:val="43"/>
        <w:numPr>
          <w:ilvl w:val="2"/>
          <w:numId w:val="19"/>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门诊处方点评率</w:t>
      </w:r>
    </w:p>
    <w:p w14:paraId="0315112E">
      <w:pPr>
        <w:pStyle w:val="43"/>
        <w:numPr>
          <w:ilvl w:val="2"/>
          <w:numId w:val="19"/>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门诊处方合格率</w:t>
      </w:r>
    </w:p>
    <w:p w14:paraId="5A40D43F">
      <w:pPr>
        <w:pStyle w:val="43"/>
        <w:numPr>
          <w:ilvl w:val="2"/>
          <w:numId w:val="19"/>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急诊处方点评率</w:t>
      </w:r>
    </w:p>
    <w:p w14:paraId="041B5A1F">
      <w:pPr>
        <w:pStyle w:val="43"/>
        <w:numPr>
          <w:ilvl w:val="2"/>
          <w:numId w:val="19"/>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急诊处方合格率</w:t>
      </w:r>
    </w:p>
    <w:p w14:paraId="285D0A97">
      <w:pPr>
        <w:pStyle w:val="43"/>
        <w:numPr>
          <w:ilvl w:val="2"/>
          <w:numId w:val="19"/>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出院病人点评率</w:t>
      </w:r>
    </w:p>
    <w:p w14:paraId="146C0698">
      <w:pPr>
        <w:pStyle w:val="43"/>
        <w:numPr>
          <w:ilvl w:val="2"/>
          <w:numId w:val="19"/>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出院病人合格率</w:t>
      </w:r>
    </w:p>
    <w:p w14:paraId="0F45B07E">
      <w:pPr>
        <w:pStyle w:val="43"/>
        <w:numPr>
          <w:ilvl w:val="0"/>
          <w:numId w:val="16"/>
        </w:numPr>
        <w:spacing w:line="360" w:lineRule="auto"/>
        <w:ind w:firstLineChars="0"/>
        <w:rPr>
          <w:rFonts w:hint="eastAsia" w:asciiTheme="minorEastAsia" w:hAnsiTheme="minorEastAsia"/>
          <w:b/>
          <w:bCs/>
          <w:sz w:val="24"/>
          <w:szCs w:val="24"/>
        </w:rPr>
      </w:pPr>
      <w:r>
        <w:rPr>
          <w:rFonts w:asciiTheme="minorEastAsia" w:hAnsiTheme="minorEastAsia"/>
          <w:b/>
          <w:bCs/>
          <w:sz w:val="24"/>
          <w:szCs w:val="24"/>
        </w:rPr>
        <w:t>药品指标分析</w:t>
      </w:r>
    </w:p>
    <w:p w14:paraId="7F9078E2">
      <w:pPr>
        <w:pStyle w:val="43"/>
        <w:spacing w:line="360" w:lineRule="auto"/>
        <w:ind w:left="840" w:firstLine="0" w:firstLineChars="0"/>
        <w:rPr>
          <w:rFonts w:hint="eastAsia" w:asciiTheme="minorEastAsia" w:hAnsiTheme="minorEastAsia"/>
          <w:sz w:val="24"/>
          <w:szCs w:val="24"/>
        </w:rPr>
      </w:pPr>
      <w:r>
        <w:rPr>
          <w:rFonts w:hint="eastAsia" w:asciiTheme="minorEastAsia" w:hAnsiTheme="minorEastAsia"/>
          <w:sz w:val="24"/>
          <w:szCs w:val="24"/>
        </w:rPr>
        <w:t>监控各医疗机构用药指标，包括：</w:t>
      </w:r>
    </w:p>
    <w:p w14:paraId="647A6F42">
      <w:pPr>
        <w:pStyle w:val="43"/>
        <w:numPr>
          <w:ilvl w:val="2"/>
          <w:numId w:val="20"/>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抗菌药物</w:t>
      </w:r>
    </w:p>
    <w:p w14:paraId="480B2C3D">
      <w:pPr>
        <w:pStyle w:val="43"/>
        <w:numPr>
          <w:ilvl w:val="3"/>
          <w:numId w:val="21"/>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门诊抗菌药物使用率</w:t>
      </w:r>
    </w:p>
    <w:p w14:paraId="6FAD0443">
      <w:pPr>
        <w:pStyle w:val="43"/>
        <w:numPr>
          <w:ilvl w:val="3"/>
          <w:numId w:val="21"/>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急诊抗菌药物使用率</w:t>
      </w:r>
    </w:p>
    <w:p w14:paraId="5B8971F4">
      <w:pPr>
        <w:pStyle w:val="43"/>
        <w:numPr>
          <w:ilvl w:val="3"/>
          <w:numId w:val="21"/>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住院抗菌药物使用率</w:t>
      </w:r>
    </w:p>
    <w:p w14:paraId="42E581F8">
      <w:pPr>
        <w:pStyle w:val="43"/>
        <w:numPr>
          <w:ilvl w:val="3"/>
          <w:numId w:val="21"/>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住院抗菌药物使用强度</w:t>
      </w:r>
    </w:p>
    <w:p w14:paraId="79B7E93F">
      <w:pPr>
        <w:pStyle w:val="43"/>
        <w:numPr>
          <w:ilvl w:val="3"/>
          <w:numId w:val="21"/>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Ⅰ类切口手术抗菌药物预防使用率</w:t>
      </w:r>
    </w:p>
    <w:p w14:paraId="1F7C1425">
      <w:pPr>
        <w:pStyle w:val="43"/>
        <w:numPr>
          <w:ilvl w:val="3"/>
          <w:numId w:val="21"/>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住院患者特殊使用级抗菌药物使用量占比</w:t>
      </w:r>
    </w:p>
    <w:p w14:paraId="761D8576">
      <w:pPr>
        <w:pStyle w:val="43"/>
        <w:numPr>
          <w:ilvl w:val="3"/>
          <w:numId w:val="21"/>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治疗性使用抗菌药物的患者使用前微生物送检率</w:t>
      </w:r>
    </w:p>
    <w:p w14:paraId="6595FEA5">
      <w:pPr>
        <w:pStyle w:val="43"/>
        <w:numPr>
          <w:ilvl w:val="3"/>
          <w:numId w:val="21"/>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治疗性使用限制级抗菌药物的患者使用前微生物送检率</w:t>
      </w:r>
    </w:p>
    <w:p w14:paraId="4656E6AB">
      <w:pPr>
        <w:pStyle w:val="43"/>
        <w:numPr>
          <w:ilvl w:val="3"/>
          <w:numId w:val="21"/>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治疗性使用特殊级抗菌药物的患者使用前微生物送检率</w:t>
      </w:r>
    </w:p>
    <w:p w14:paraId="0EDC0916">
      <w:pPr>
        <w:pStyle w:val="43"/>
        <w:numPr>
          <w:ilvl w:val="2"/>
          <w:numId w:val="20"/>
        </w:numPr>
        <w:spacing w:line="360" w:lineRule="auto"/>
        <w:ind w:firstLineChars="0"/>
        <w:rPr>
          <w:rFonts w:hint="eastAsia" w:asciiTheme="minorEastAsia" w:hAnsiTheme="minorEastAsia"/>
          <w:sz w:val="24"/>
          <w:szCs w:val="24"/>
        </w:rPr>
      </w:pPr>
      <w:r>
        <w:rPr>
          <w:rFonts w:asciiTheme="minorEastAsia" w:hAnsiTheme="minorEastAsia"/>
          <w:sz w:val="24"/>
          <w:szCs w:val="24"/>
        </w:rPr>
        <w:t>基本药物</w:t>
      </w:r>
    </w:p>
    <w:p w14:paraId="2A55581A">
      <w:pPr>
        <w:pStyle w:val="43"/>
        <w:numPr>
          <w:ilvl w:val="3"/>
          <w:numId w:val="22"/>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门诊患者基本药物处方占比</w:t>
      </w:r>
    </w:p>
    <w:p w14:paraId="27219F62">
      <w:pPr>
        <w:pStyle w:val="43"/>
        <w:numPr>
          <w:ilvl w:val="3"/>
          <w:numId w:val="22"/>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住院患者基本药物使用率</w:t>
      </w:r>
    </w:p>
    <w:p w14:paraId="4FEC4672">
      <w:pPr>
        <w:pStyle w:val="43"/>
        <w:numPr>
          <w:ilvl w:val="3"/>
          <w:numId w:val="22"/>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门诊患者基本药物处方使用占比</w:t>
      </w:r>
    </w:p>
    <w:p w14:paraId="36576712">
      <w:pPr>
        <w:pStyle w:val="43"/>
        <w:numPr>
          <w:ilvl w:val="3"/>
          <w:numId w:val="22"/>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住院患者基本药物使用占比</w:t>
      </w:r>
    </w:p>
    <w:p w14:paraId="5219E758">
      <w:pPr>
        <w:pStyle w:val="43"/>
        <w:numPr>
          <w:ilvl w:val="3"/>
          <w:numId w:val="22"/>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国家基本药物配备使用金额比例</w:t>
      </w:r>
    </w:p>
    <w:p w14:paraId="46CCF196">
      <w:pPr>
        <w:pStyle w:val="43"/>
        <w:numPr>
          <w:ilvl w:val="2"/>
          <w:numId w:val="20"/>
        </w:numPr>
        <w:spacing w:line="360" w:lineRule="auto"/>
        <w:ind w:firstLineChars="0"/>
        <w:rPr>
          <w:rFonts w:hint="eastAsia" w:asciiTheme="minorEastAsia" w:hAnsiTheme="minorEastAsia"/>
          <w:sz w:val="24"/>
          <w:szCs w:val="24"/>
        </w:rPr>
      </w:pPr>
      <w:r>
        <w:rPr>
          <w:rFonts w:asciiTheme="minorEastAsia" w:hAnsiTheme="minorEastAsia"/>
          <w:sz w:val="24"/>
          <w:szCs w:val="24"/>
        </w:rPr>
        <w:t>中药饮片</w:t>
      </w:r>
    </w:p>
    <w:p w14:paraId="3F5CE06F">
      <w:pPr>
        <w:pStyle w:val="43"/>
        <w:numPr>
          <w:ilvl w:val="3"/>
          <w:numId w:val="23"/>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门诊患者中药饮片使用率</w:t>
      </w:r>
    </w:p>
    <w:p w14:paraId="691ACD1A">
      <w:pPr>
        <w:pStyle w:val="43"/>
        <w:numPr>
          <w:ilvl w:val="3"/>
          <w:numId w:val="23"/>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出院患者中药饮片使用率</w:t>
      </w:r>
    </w:p>
    <w:p w14:paraId="443B42ED">
      <w:pPr>
        <w:pStyle w:val="43"/>
        <w:numPr>
          <w:ilvl w:val="3"/>
          <w:numId w:val="23"/>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门诊中药处方比例</w:t>
      </w:r>
    </w:p>
    <w:p w14:paraId="308347D4">
      <w:pPr>
        <w:pStyle w:val="43"/>
        <w:numPr>
          <w:ilvl w:val="3"/>
          <w:numId w:val="23"/>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门诊散装中药饮片和小包装中药饮片处方比例</w:t>
      </w:r>
    </w:p>
    <w:p w14:paraId="5B2A17B1">
      <w:pPr>
        <w:pStyle w:val="43"/>
        <w:numPr>
          <w:ilvl w:val="0"/>
          <w:numId w:val="16"/>
        </w:numPr>
        <w:spacing w:line="360" w:lineRule="auto"/>
        <w:ind w:firstLineChars="0"/>
        <w:rPr>
          <w:rFonts w:hint="eastAsia" w:asciiTheme="minorEastAsia" w:hAnsiTheme="minorEastAsia"/>
          <w:b/>
          <w:bCs/>
          <w:sz w:val="24"/>
          <w:szCs w:val="24"/>
        </w:rPr>
      </w:pPr>
      <w:r>
        <w:rPr>
          <w:rFonts w:hint="eastAsia" w:asciiTheme="minorEastAsia" w:hAnsiTheme="minorEastAsia"/>
          <w:b/>
          <w:bCs/>
          <w:sz w:val="24"/>
          <w:szCs w:val="24"/>
        </w:rPr>
        <w:t>区域监控中心大屏</w:t>
      </w:r>
    </w:p>
    <w:p w14:paraId="78DBC94C">
      <w:pPr>
        <w:pStyle w:val="43"/>
        <w:spacing w:line="360" w:lineRule="auto"/>
        <w:ind w:left="840" w:firstLine="0" w:firstLineChars="0"/>
        <w:rPr>
          <w:rFonts w:hint="eastAsia" w:asciiTheme="minorEastAsia" w:hAnsiTheme="minorEastAsia"/>
          <w:b/>
          <w:bCs/>
          <w:sz w:val="24"/>
          <w:szCs w:val="24"/>
        </w:rPr>
      </w:pPr>
      <w:r>
        <w:rPr>
          <w:rFonts w:hint="eastAsia" w:asciiTheme="minorEastAsia" w:hAnsiTheme="minorEastAsia"/>
          <w:sz w:val="24"/>
          <w:szCs w:val="24"/>
        </w:rPr>
        <w:t>系统支持可视化大屏展示，直观呈现全区关键用药指标。</w:t>
      </w:r>
    </w:p>
    <w:p w14:paraId="22C66D4F">
      <w:pPr>
        <w:pStyle w:val="4"/>
        <w:numPr>
          <w:ilvl w:val="0"/>
          <w:numId w:val="14"/>
        </w:numPr>
        <w:spacing w:line="360" w:lineRule="auto"/>
        <w:rPr>
          <w:rFonts w:hint="eastAsia" w:asciiTheme="minorEastAsia" w:hAnsiTheme="minorEastAsia"/>
          <w:sz w:val="28"/>
          <w:szCs w:val="28"/>
        </w:rPr>
      </w:pPr>
      <w:r>
        <w:rPr>
          <w:rFonts w:hint="eastAsia" w:asciiTheme="minorEastAsia" w:hAnsiTheme="minorEastAsia"/>
          <w:sz w:val="28"/>
          <w:szCs w:val="28"/>
        </w:rPr>
        <w:t>区域共享患者档案</w:t>
      </w:r>
    </w:p>
    <w:p w14:paraId="315C3D8D">
      <w:pPr>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系统收录患者在区域内各医疗机构历次就诊记录，内容包括：</w:t>
      </w:r>
    </w:p>
    <w:p w14:paraId="3AB2197F">
      <w:pPr>
        <w:pStyle w:val="43"/>
        <w:numPr>
          <w:ilvl w:val="0"/>
          <w:numId w:val="24"/>
        </w:numPr>
        <w:spacing w:line="360" w:lineRule="auto"/>
        <w:ind w:firstLine="147" w:firstLineChars="0"/>
        <w:rPr>
          <w:rFonts w:hint="eastAsia" w:asciiTheme="minorEastAsia" w:hAnsiTheme="minorEastAsia"/>
          <w:sz w:val="24"/>
          <w:szCs w:val="24"/>
        </w:rPr>
      </w:pPr>
      <w:r>
        <w:rPr>
          <w:rFonts w:hint="eastAsia" w:asciiTheme="minorEastAsia" w:hAnsiTheme="minorEastAsia"/>
          <w:sz w:val="24"/>
          <w:szCs w:val="24"/>
        </w:rPr>
        <w:t>个人信息：姓名、性别、年龄、出生日期等</w:t>
      </w:r>
    </w:p>
    <w:p w14:paraId="5D88FDB8">
      <w:pPr>
        <w:pStyle w:val="43"/>
        <w:numPr>
          <w:ilvl w:val="0"/>
          <w:numId w:val="24"/>
        </w:numPr>
        <w:spacing w:line="360" w:lineRule="auto"/>
        <w:ind w:firstLine="147" w:firstLineChars="0"/>
        <w:rPr>
          <w:rFonts w:hint="eastAsia" w:asciiTheme="minorEastAsia" w:hAnsiTheme="minorEastAsia"/>
          <w:sz w:val="24"/>
          <w:szCs w:val="24"/>
        </w:rPr>
      </w:pPr>
      <w:r>
        <w:rPr>
          <w:rFonts w:hint="eastAsia" w:asciiTheme="minorEastAsia" w:hAnsiTheme="minorEastAsia"/>
          <w:sz w:val="24"/>
          <w:szCs w:val="24"/>
        </w:rPr>
        <w:t>健康摘要：过敏史、药品不良反应史、基因检测、家族病史等</w:t>
      </w:r>
    </w:p>
    <w:p w14:paraId="29B3DF11">
      <w:pPr>
        <w:pStyle w:val="43"/>
        <w:numPr>
          <w:ilvl w:val="0"/>
          <w:numId w:val="24"/>
        </w:numPr>
        <w:spacing w:line="360" w:lineRule="auto"/>
        <w:ind w:firstLine="147" w:firstLineChars="0"/>
        <w:rPr>
          <w:rFonts w:hint="eastAsia" w:asciiTheme="minorEastAsia" w:hAnsiTheme="minorEastAsia"/>
          <w:sz w:val="24"/>
          <w:szCs w:val="24"/>
        </w:rPr>
      </w:pPr>
      <w:r>
        <w:rPr>
          <w:rFonts w:hint="eastAsia" w:asciiTheme="minorEastAsia" w:hAnsiTheme="minorEastAsia"/>
          <w:sz w:val="24"/>
          <w:szCs w:val="24"/>
        </w:rPr>
        <w:t>诊疗记录：医嘱、检验、检查</w:t>
      </w:r>
    </w:p>
    <w:p w14:paraId="1B22FA85">
      <w:pPr>
        <w:pStyle w:val="4"/>
        <w:numPr>
          <w:ilvl w:val="0"/>
          <w:numId w:val="14"/>
        </w:numPr>
        <w:spacing w:line="360" w:lineRule="auto"/>
        <w:rPr>
          <w:rFonts w:hint="eastAsia" w:asciiTheme="minorEastAsia" w:hAnsiTheme="minorEastAsia"/>
          <w:sz w:val="28"/>
          <w:szCs w:val="28"/>
        </w:rPr>
      </w:pPr>
      <w:r>
        <w:rPr>
          <w:rFonts w:hint="eastAsia" w:asciiTheme="minorEastAsia" w:hAnsiTheme="minorEastAsia"/>
          <w:sz w:val="28"/>
          <w:szCs w:val="28"/>
        </w:rPr>
        <w:t>区域合理用药审查</w:t>
      </w:r>
    </w:p>
    <w:p w14:paraId="2D57AC4B">
      <w:pPr>
        <w:pStyle w:val="43"/>
        <w:numPr>
          <w:ilvl w:val="0"/>
          <w:numId w:val="25"/>
        </w:numPr>
        <w:tabs>
          <w:tab w:val="left" w:pos="567"/>
        </w:tabs>
        <w:spacing w:line="360" w:lineRule="auto"/>
        <w:ind w:hanging="556" w:firstLineChars="0"/>
        <w:rPr>
          <w:rFonts w:hint="eastAsia" w:asciiTheme="minorEastAsia" w:hAnsiTheme="minorEastAsia"/>
          <w:b/>
          <w:bCs/>
          <w:sz w:val="24"/>
          <w:szCs w:val="24"/>
        </w:rPr>
      </w:pPr>
      <w:r>
        <w:rPr>
          <w:rFonts w:hint="eastAsia" w:asciiTheme="minorEastAsia" w:hAnsiTheme="minorEastAsia"/>
          <w:b/>
          <w:bCs/>
          <w:sz w:val="24"/>
          <w:szCs w:val="24"/>
        </w:rPr>
        <w:t>区域合理用药审查</w:t>
      </w:r>
    </w:p>
    <w:p w14:paraId="17798D2B">
      <w:pPr>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系统可结合患者在本区域内其他医疗机构的过敏信息、历史处方进行跨医疗机构审查，并在问题警示界面向医生展示历史处方的医疗机构来源。</w:t>
      </w:r>
    </w:p>
    <w:p w14:paraId="2D296EE2">
      <w:pPr>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区域内的牵头医院可建立区域规则管理中心，对审查规则库进行统一管理，各医疗机构可共享合理用药审查规则。</w:t>
      </w:r>
    </w:p>
    <w:p w14:paraId="78667CB6">
      <w:pPr>
        <w:pStyle w:val="43"/>
        <w:numPr>
          <w:ilvl w:val="0"/>
          <w:numId w:val="25"/>
        </w:numPr>
        <w:tabs>
          <w:tab w:val="left" w:pos="567"/>
        </w:tabs>
        <w:spacing w:line="360" w:lineRule="auto"/>
        <w:ind w:hanging="556" w:firstLineChars="0"/>
        <w:rPr>
          <w:rFonts w:hint="eastAsia" w:asciiTheme="minorEastAsia" w:hAnsiTheme="minorEastAsia"/>
          <w:b/>
          <w:bCs/>
          <w:sz w:val="24"/>
          <w:szCs w:val="24"/>
        </w:rPr>
      </w:pPr>
      <w:r>
        <w:rPr>
          <w:rFonts w:hint="eastAsia" w:asciiTheme="minorEastAsia" w:hAnsiTheme="minorEastAsia"/>
          <w:b/>
          <w:bCs/>
          <w:sz w:val="24"/>
          <w:szCs w:val="24"/>
        </w:rPr>
        <w:t>功能说明</w:t>
      </w:r>
    </w:p>
    <w:p w14:paraId="476164B5">
      <w:pPr>
        <w:pStyle w:val="43"/>
        <w:numPr>
          <w:ilvl w:val="0"/>
          <w:numId w:val="26"/>
        </w:numPr>
        <w:spacing w:line="360" w:lineRule="auto"/>
        <w:ind w:firstLineChars="0"/>
        <w:rPr>
          <w:rFonts w:hint="eastAsia" w:asciiTheme="minorEastAsia" w:hAnsiTheme="minorEastAsia"/>
          <w:b/>
          <w:bCs/>
          <w:sz w:val="24"/>
          <w:szCs w:val="24"/>
        </w:rPr>
      </w:pPr>
      <w:bookmarkStart w:id="37" w:name="_Toc443387396"/>
      <w:r>
        <w:rPr>
          <w:rFonts w:asciiTheme="minorEastAsia" w:hAnsiTheme="minorEastAsia"/>
          <w:b/>
          <w:bCs/>
          <w:sz w:val="24"/>
          <w:szCs w:val="24"/>
        </w:rPr>
        <w:t>处方（医嘱）用药监测功能</w:t>
      </w:r>
      <w:bookmarkEnd w:id="37"/>
    </w:p>
    <w:p w14:paraId="7E614D4A">
      <w:pPr>
        <w:spacing w:line="360" w:lineRule="auto"/>
        <w:ind w:right="88" w:rightChars="42" w:firstLine="540" w:firstLineChars="225"/>
        <w:rPr>
          <w:rFonts w:hint="eastAsia" w:cs="Arial" w:asciiTheme="minorEastAsia" w:hAnsiTheme="minorEastAsia"/>
          <w:bCs/>
          <w:sz w:val="24"/>
          <w:szCs w:val="24"/>
        </w:rPr>
      </w:pPr>
      <w:r>
        <w:rPr>
          <w:rFonts w:hint="eastAsia" w:cs="Arial" w:asciiTheme="minorEastAsia" w:hAnsiTheme="minorEastAsia"/>
          <w:bCs/>
          <w:sz w:val="24"/>
          <w:szCs w:val="24"/>
        </w:rPr>
        <w:t>系统</w:t>
      </w:r>
      <w:r>
        <w:rPr>
          <w:rFonts w:cs="Arial" w:asciiTheme="minorEastAsia" w:hAnsiTheme="minorEastAsia"/>
          <w:bCs/>
          <w:sz w:val="24"/>
          <w:szCs w:val="24"/>
        </w:rPr>
        <w:t>可以在处方药品输入完毕后，立即对药物医嘱中可能存在的药物相互作用、药物过敏、注射液体外配伍、剂量范围、药物禁忌、不良反应、重复用药、给药途径和特殊人群用药等不合理用药问题进行自动、实时的审查和监测，将监测结果信息提示给医生，使其更好地考虑用药方案、防范用药风险，达到合理用药的目的。</w:t>
      </w:r>
    </w:p>
    <w:p w14:paraId="75DF1268">
      <w:pPr>
        <w:spacing w:line="360" w:lineRule="auto"/>
        <w:ind w:right="88" w:rightChars="42" w:firstLine="540" w:firstLineChars="225"/>
        <w:rPr>
          <w:rFonts w:hint="eastAsia" w:cs="Arial" w:asciiTheme="minorEastAsia" w:hAnsiTheme="minorEastAsia"/>
          <w:bCs/>
          <w:sz w:val="24"/>
          <w:szCs w:val="24"/>
        </w:rPr>
      </w:pPr>
      <w:r>
        <w:rPr>
          <w:rFonts w:cs="Arial" w:asciiTheme="minorEastAsia" w:hAnsiTheme="minorEastAsia"/>
          <w:bCs/>
          <w:sz w:val="24"/>
          <w:szCs w:val="24"/>
        </w:rPr>
        <w:t>同时，</w:t>
      </w:r>
      <w:r>
        <w:rPr>
          <w:rFonts w:hint="eastAsia" w:cs="Arial" w:asciiTheme="minorEastAsia" w:hAnsiTheme="minorEastAsia"/>
          <w:bCs/>
          <w:sz w:val="24"/>
          <w:szCs w:val="24"/>
        </w:rPr>
        <w:t>系统</w:t>
      </w:r>
      <w:r>
        <w:rPr>
          <w:rFonts w:cs="Arial" w:asciiTheme="minorEastAsia" w:hAnsiTheme="minorEastAsia"/>
          <w:bCs/>
          <w:sz w:val="24"/>
          <w:szCs w:val="24"/>
        </w:rPr>
        <w:t>还提供审查模式的用户自定义功能。根据不同需求，用户可以对</w:t>
      </w:r>
      <w:r>
        <w:rPr>
          <w:rFonts w:hint="eastAsia" w:cs="Arial" w:asciiTheme="minorEastAsia" w:hAnsiTheme="minorEastAsia"/>
          <w:bCs/>
          <w:sz w:val="24"/>
          <w:szCs w:val="24"/>
        </w:rPr>
        <w:t>系统</w:t>
      </w:r>
      <w:r>
        <w:rPr>
          <w:rFonts w:cs="Arial" w:asciiTheme="minorEastAsia" w:hAnsiTheme="minorEastAsia"/>
          <w:bCs/>
          <w:sz w:val="24"/>
          <w:szCs w:val="24"/>
        </w:rPr>
        <w:t>审查中需要开放哪些审查项目、审查级别进行设置。</w:t>
      </w:r>
    </w:p>
    <w:p w14:paraId="09D209CF">
      <w:pPr>
        <w:pStyle w:val="69"/>
        <w:numPr>
          <w:ilvl w:val="1"/>
          <w:numId w:val="27"/>
        </w:numPr>
        <w:spacing w:before="0" w:after="0"/>
        <w:ind w:left="993"/>
        <w:rPr>
          <w:rFonts w:hint="eastAsia" w:asciiTheme="minorEastAsia" w:hAnsiTheme="minorEastAsia" w:eastAsiaTheme="minorEastAsia"/>
          <w:bCs/>
          <w:color w:val="000000"/>
          <w:sz w:val="24"/>
          <w:szCs w:val="24"/>
        </w:rPr>
      </w:pPr>
      <w:r>
        <w:rPr>
          <w:rFonts w:asciiTheme="minorEastAsia" w:hAnsiTheme="minorEastAsia" w:eastAsiaTheme="minorEastAsia"/>
          <w:bCs/>
          <w:color w:val="000000"/>
          <w:sz w:val="24"/>
          <w:szCs w:val="24"/>
        </w:rPr>
        <w:t>剂量范围审查</w:t>
      </w:r>
    </w:p>
    <w:p w14:paraId="59CEFE93">
      <w:pPr>
        <w:tabs>
          <w:tab w:val="left" w:pos="1320"/>
        </w:tabs>
        <w:spacing w:line="360" w:lineRule="auto"/>
        <w:ind w:right="88" w:rightChars="42" w:firstLine="480" w:firstLineChars="200"/>
        <w:rPr>
          <w:rFonts w:hint="eastAsia" w:cs="Arial" w:asciiTheme="minorEastAsia" w:hAnsiTheme="minorEastAsia"/>
          <w:bCs/>
          <w:sz w:val="24"/>
          <w:szCs w:val="24"/>
        </w:rPr>
      </w:pPr>
      <w:r>
        <w:rPr>
          <w:rFonts w:cs="Arial" w:asciiTheme="minorEastAsia" w:hAnsiTheme="minorEastAsia"/>
          <w:bCs/>
          <w:sz w:val="24"/>
          <w:szCs w:val="24"/>
        </w:rPr>
        <w:t>本功能不仅能提示处方药品的超量用药问题，而且可以提示处方药品</w:t>
      </w:r>
      <w:r>
        <w:rPr>
          <w:rFonts w:hint="eastAsia" w:cs="Arial" w:asciiTheme="minorEastAsia" w:hAnsiTheme="minorEastAsia"/>
          <w:bCs/>
          <w:sz w:val="24"/>
          <w:szCs w:val="24"/>
        </w:rPr>
        <w:t>的</w:t>
      </w:r>
      <w:r>
        <w:rPr>
          <w:rFonts w:cs="Arial" w:asciiTheme="minorEastAsia" w:hAnsiTheme="minorEastAsia"/>
          <w:bCs/>
          <w:sz w:val="24"/>
          <w:szCs w:val="24"/>
        </w:rPr>
        <w:t>剂量是否超过每次和每日的常用量范围或极量标准，同时对用药频率（包括注射药品及其溶媒的给药频率）、给药持续时间</w:t>
      </w:r>
      <w:r>
        <w:rPr>
          <w:rFonts w:hint="eastAsia" w:cs="Arial" w:asciiTheme="minorEastAsia" w:hAnsiTheme="minorEastAsia"/>
          <w:bCs/>
          <w:sz w:val="24"/>
          <w:szCs w:val="24"/>
        </w:rPr>
        <w:t>、</w:t>
      </w:r>
      <w:r>
        <w:rPr>
          <w:rFonts w:cs="Arial" w:asciiTheme="minorEastAsia" w:hAnsiTheme="minorEastAsia"/>
          <w:bCs/>
          <w:sz w:val="24"/>
          <w:szCs w:val="24"/>
        </w:rPr>
        <w:t>疗程总剂量等也可做审查。</w:t>
      </w:r>
    </w:p>
    <w:p w14:paraId="750925F7">
      <w:pPr>
        <w:pStyle w:val="69"/>
        <w:numPr>
          <w:ilvl w:val="1"/>
          <w:numId w:val="27"/>
        </w:numPr>
        <w:spacing w:before="0" w:after="0"/>
        <w:ind w:left="993"/>
        <w:rPr>
          <w:rFonts w:hint="eastAsia"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中药饮片剂量审查</w:t>
      </w:r>
    </w:p>
    <w:p w14:paraId="7B026964">
      <w:pPr>
        <w:spacing w:line="360" w:lineRule="auto"/>
        <w:ind w:right="88" w:rightChars="42" w:firstLine="480" w:firstLineChars="200"/>
        <w:rPr>
          <w:rFonts w:hint="eastAsia" w:cs="Arial" w:asciiTheme="minorEastAsia" w:hAnsiTheme="minorEastAsia"/>
          <w:b/>
          <w:bCs/>
          <w:sz w:val="24"/>
          <w:szCs w:val="24"/>
        </w:rPr>
      </w:pPr>
      <w:r>
        <w:rPr>
          <w:rFonts w:cs="Arial" w:asciiTheme="minorEastAsia" w:hAnsiTheme="minorEastAsia"/>
          <w:bCs/>
          <w:sz w:val="24"/>
          <w:szCs w:val="24"/>
        </w:rPr>
        <w:t>本功能根据中药饮片的给药途径</w:t>
      </w:r>
      <w:r>
        <w:rPr>
          <w:rFonts w:hint="eastAsia" w:cs="Arial" w:asciiTheme="minorEastAsia" w:hAnsiTheme="minorEastAsia"/>
          <w:bCs/>
          <w:sz w:val="24"/>
          <w:szCs w:val="24"/>
        </w:rPr>
        <w:t>，</w:t>
      </w:r>
      <w:r>
        <w:rPr>
          <w:rFonts w:cs="Arial" w:asciiTheme="minorEastAsia" w:hAnsiTheme="minorEastAsia"/>
          <w:bCs/>
          <w:sz w:val="24"/>
          <w:szCs w:val="24"/>
        </w:rPr>
        <w:t>提示每一剂用药量是否超出推荐量或限制量</w:t>
      </w:r>
      <w:r>
        <w:rPr>
          <w:rFonts w:hint="eastAsia" w:cs="Arial" w:asciiTheme="minorEastAsia" w:hAnsiTheme="minorEastAsia"/>
          <w:bCs/>
          <w:sz w:val="24"/>
          <w:szCs w:val="24"/>
        </w:rPr>
        <w:t>，而且可以根据不同的处方医生进行中药饮片每剂用量审查提示。</w:t>
      </w:r>
    </w:p>
    <w:p w14:paraId="26921A7D">
      <w:pPr>
        <w:pStyle w:val="69"/>
        <w:numPr>
          <w:ilvl w:val="1"/>
          <w:numId w:val="27"/>
        </w:numPr>
        <w:spacing w:before="0" w:after="0"/>
        <w:ind w:left="993"/>
        <w:rPr>
          <w:rFonts w:hint="eastAsia"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超多日用量审查</w:t>
      </w:r>
    </w:p>
    <w:p w14:paraId="4E0EFC4F">
      <w:pPr>
        <w:spacing w:line="360" w:lineRule="auto"/>
        <w:ind w:right="88" w:rightChars="42" w:firstLine="480" w:firstLineChars="200"/>
        <w:rPr>
          <w:rFonts w:hint="eastAsia" w:cs="Arial" w:asciiTheme="minorEastAsia" w:hAnsiTheme="minorEastAsia"/>
          <w:bCs/>
          <w:sz w:val="24"/>
          <w:szCs w:val="24"/>
        </w:rPr>
      </w:pPr>
      <w:r>
        <w:rPr>
          <w:rFonts w:hint="eastAsia" w:cs="Arial" w:asciiTheme="minorEastAsia" w:hAnsiTheme="minorEastAsia"/>
          <w:bCs/>
          <w:sz w:val="24"/>
          <w:szCs w:val="24"/>
        </w:rPr>
        <w:t>本功能根据国家《处方管理办法》能对门诊处方药品超7日、急诊处方药品超3日用量进行审查提示，同时还可以按规定对处方中麻醉药品、精神类药品和慢性病患者、出院带药患者、特殊患者超多日用量进行审查提示。</w:t>
      </w:r>
    </w:p>
    <w:p w14:paraId="2FF246CE">
      <w:pPr>
        <w:pStyle w:val="71"/>
        <w:numPr>
          <w:ilvl w:val="1"/>
          <w:numId w:val="27"/>
        </w:numPr>
        <w:spacing w:before="0" w:after="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累积</w:t>
      </w:r>
      <w:r>
        <w:rPr>
          <w:rFonts w:asciiTheme="minorEastAsia" w:hAnsiTheme="minorEastAsia" w:eastAsiaTheme="minorEastAsia"/>
          <w:sz w:val="24"/>
          <w:szCs w:val="24"/>
        </w:rPr>
        <w:t>剂量审查</w:t>
      </w:r>
    </w:p>
    <w:p w14:paraId="7C931A15">
      <w:pPr>
        <w:spacing w:line="360" w:lineRule="auto"/>
        <w:ind w:right="88" w:rightChars="42"/>
        <w:rPr>
          <w:rFonts w:hint="eastAsia" w:cs="Arial" w:asciiTheme="minorEastAsia" w:hAnsiTheme="minorEastAsia"/>
          <w:bCs/>
          <w:sz w:val="24"/>
          <w:szCs w:val="24"/>
        </w:rPr>
      </w:pPr>
      <w:r>
        <w:rPr>
          <w:rFonts w:hint="eastAsia" w:cs="Arial" w:asciiTheme="minorEastAsia" w:hAnsiTheme="minorEastAsia"/>
          <w:bCs/>
          <w:sz w:val="24"/>
          <w:szCs w:val="24"/>
        </w:rPr>
        <w:t xml:space="preserve">    本功能审查患者单次住院、多次住院、每日累积、终身累积用药是否超过累积剂量上限，如果药品用量超出上限，则系统发出警告提醒医生可能需要调整处方药品用量或者更换药品。</w:t>
      </w:r>
    </w:p>
    <w:p w14:paraId="066ED452">
      <w:pPr>
        <w:pStyle w:val="71"/>
        <w:numPr>
          <w:ilvl w:val="1"/>
          <w:numId w:val="27"/>
        </w:numPr>
        <w:spacing w:before="0" w:after="0"/>
        <w:rPr>
          <w:rFonts w:hint="eastAsia" w:asciiTheme="minorEastAsia" w:hAnsiTheme="minorEastAsia" w:eastAsiaTheme="minorEastAsia"/>
          <w:color w:val="auto"/>
          <w:sz w:val="24"/>
          <w:szCs w:val="24"/>
        </w:rPr>
      </w:pPr>
      <w:r>
        <w:rPr>
          <w:rFonts w:asciiTheme="minorEastAsia" w:hAnsiTheme="minorEastAsia" w:eastAsiaTheme="minorEastAsia"/>
          <w:color w:val="auto"/>
          <w:sz w:val="24"/>
          <w:szCs w:val="24"/>
        </w:rPr>
        <w:t>超适应症审查</w:t>
      </w:r>
    </w:p>
    <w:p w14:paraId="64D3F07B">
      <w:pPr>
        <w:spacing w:line="360" w:lineRule="auto"/>
        <w:ind w:right="88" w:rightChars="42" w:firstLine="480" w:firstLineChars="200"/>
        <w:rPr>
          <w:rFonts w:hint="eastAsia" w:cs="Arial" w:asciiTheme="minorEastAsia" w:hAnsiTheme="minorEastAsia"/>
          <w:bCs/>
          <w:sz w:val="24"/>
          <w:szCs w:val="24"/>
        </w:rPr>
      </w:pPr>
      <w:r>
        <w:rPr>
          <w:rFonts w:cs="Arial" w:asciiTheme="minorEastAsia" w:hAnsiTheme="minorEastAsia"/>
          <w:bCs/>
          <w:sz w:val="24"/>
          <w:szCs w:val="24"/>
        </w:rPr>
        <w:t>本项功能模块能够审查病人的疾病情况是否在处方药物的适应症范围内，若病人存在超药品适应症用药的情况，系统则发出警告提醒医生可能需要调整病人的药物治疗方案。</w:t>
      </w:r>
    </w:p>
    <w:p w14:paraId="325CA23F">
      <w:pPr>
        <w:pStyle w:val="71"/>
        <w:numPr>
          <w:ilvl w:val="1"/>
          <w:numId w:val="27"/>
        </w:numPr>
        <w:spacing w:before="0" w:after="0"/>
        <w:ind w:left="993"/>
        <w:rPr>
          <w:rFonts w:hint="eastAsia" w:asciiTheme="minorEastAsia" w:hAnsiTheme="minorEastAsia" w:eastAsiaTheme="minorEastAsia"/>
          <w:color w:val="auto"/>
          <w:sz w:val="24"/>
          <w:szCs w:val="24"/>
        </w:rPr>
      </w:pPr>
      <w:r>
        <w:rPr>
          <w:rFonts w:asciiTheme="minorEastAsia" w:hAnsiTheme="minorEastAsia" w:eastAsiaTheme="minorEastAsia"/>
          <w:color w:val="auto"/>
          <w:sz w:val="24"/>
          <w:szCs w:val="24"/>
        </w:rPr>
        <w:t>肝损害剂量审查</w:t>
      </w:r>
    </w:p>
    <w:p w14:paraId="26C9263A">
      <w:pPr>
        <w:spacing w:line="360" w:lineRule="auto"/>
        <w:ind w:right="88" w:rightChars="42" w:firstLine="480" w:firstLineChars="200"/>
        <w:rPr>
          <w:rFonts w:hint="eastAsia" w:cs="Arial" w:asciiTheme="minorEastAsia" w:hAnsiTheme="minorEastAsia"/>
          <w:bCs/>
          <w:sz w:val="24"/>
          <w:szCs w:val="24"/>
        </w:rPr>
      </w:pPr>
      <w:r>
        <w:rPr>
          <w:rFonts w:cs="Arial" w:asciiTheme="minorEastAsia" w:hAnsiTheme="minorEastAsia"/>
          <w:bCs/>
          <w:sz w:val="24"/>
          <w:szCs w:val="24"/>
        </w:rPr>
        <w:t>肝损害剂量模块审查是由于病人肝功能损害时对药物的吸收、代谢、排泄等均有影响，给药剂量与常规剂量范围有一定差异，需</w:t>
      </w:r>
      <w:r>
        <w:rPr>
          <w:rFonts w:hint="eastAsia" w:cs="Arial" w:asciiTheme="minorEastAsia" w:hAnsiTheme="minorEastAsia"/>
          <w:bCs/>
          <w:sz w:val="24"/>
          <w:szCs w:val="24"/>
        </w:rPr>
        <w:t>监</w:t>
      </w:r>
      <w:r>
        <w:rPr>
          <w:rFonts w:cs="Arial" w:asciiTheme="minorEastAsia" w:hAnsiTheme="minorEastAsia"/>
          <w:bCs/>
          <w:sz w:val="24"/>
          <w:szCs w:val="24"/>
        </w:rPr>
        <w:t>测该类人群使用药品剂量是否合理，如果使用剂量不在药品说明书推荐的剂量范围内，则系统发出警告提醒医生可能需要调整病人的药物剂量。</w:t>
      </w:r>
    </w:p>
    <w:p w14:paraId="0DCC42A9">
      <w:pPr>
        <w:pStyle w:val="71"/>
        <w:numPr>
          <w:ilvl w:val="1"/>
          <w:numId w:val="27"/>
        </w:numPr>
        <w:spacing w:before="0" w:after="0"/>
        <w:rPr>
          <w:rFonts w:hint="eastAsia" w:asciiTheme="minorEastAsia" w:hAnsiTheme="minorEastAsia" w:eastAsiaTheme="minorEastAsia"/>
          <w:color w:val="auto"/>
          <w:sz w:val="24"/>
          <w:szCs w:val="24"/>
        </w:rPr>
      </w:pPr>
      <w:r>
        <w:rPr>
          <w:rFonts w:asciiTheme="minorEastAsia" w:hAnsiTheme="minorEastAsia" w:eastAsiaTheme="minorEastAsia"/>
          <w:color w:val="auto"/>
          <w:sz w:val="24"/>
          <w:szCs w:val="24"/>
        </w:rPr>
        <w:t>肾损害剂量审查</w:t>
      </w:r>
    </w:p>
    <w:p w14:paraId="7025FAB9">
      <w:pPr>
        <w:spacing w:line="360" w:lineRule="auto"/>
        <w:ind w:right="88" w:rightChars="42" w:firstLine="480" w:firstLineChars="200"/>
        <w:rPr>
          <w:rFonts w:hint="eastAsia" w:cs="Arial" w:asciiTheme="minorEastAsia" w:hAnsiTheme="minorEastAsia"/>
          <w:bCs/>
          <w:sz w:val="24"/>
          <w:szCs w:val="24"/>
        </w:rPr>
      </w:pPr>
      <w:r>
        <w:rPr>
          <w:rFonts w:cs="Arial" w:asciiTheme="minorEastAsia" w:hAnsiTheme="minorEastAsia"/>
          <w:bCs/>
          <w:sz w:val="24"/>
          <w:szCs w:val="24"/>
        </w:rPr>
        <w:t>肾损害剂量模块审查是由于病人肾功能损害时肾的排泄和调节功能也将会降低，给药剂量与常规剂量范围有一定差异，需</w:t>
      </w:r>
      <w:r>
        <w:rPr>
          <w:rFonts w:hint="eastAsia" w:cs="Arial" w:asciiTheme="minorEastAsia" w:hAnsiTheme="minorEastAsia"/>
          <w:bCs/>
          <w:sz w:val="24"/>
          <w:szCs w:val="24"/>
        </w:rPr>
        <w:t>监</w:t>
      </w:r>
      <w:r>
        <w:rPr>
          <w:rFonts w:cs="Arial" w:asciiTheme="minorEastAsia" w:hAnsiTheme="minorEastAsia"/>
          <w:bCs/>
          <w:sz w:val="24"/>
          <w:szCs w:val="24"/>
        </w:rPr>
        <w:t>测该类人群使用药品剂量是否合理，如果使用剂量不在药品说明书推荐的剂量范围内，则系统发出警告提醒医生可能需要调整病人的药物剂量</w:t>
      </w:r>
      <w:r>
        <w:rPr>
          <w:rFonts w:hint="eastAsia" w:cs="Arial" w:asciiTheme="minorEastAsia" w:hAnsiTheme="minorEastAsia"/>
          <w:bCs/>
          <w:sz w:val="24"/>
          <w:szCs w:val="24"/>
        </w:rPr>
        <w:t>。</w:t>
      </w:r>
    </w:p>
    <w:p w14:paraId="7C108749">
      <w:pPr>
        <w:pStyle w:val="71"/>
        <w:numPr>
          <w:ilvl w:val="1"/>
          <w:numId w:val="27"/>
        </w:numPr>
        <w:spacing w:before="0" w:after="0"/>
        <w:rPr>
          <w:rFonts w:hint="eastAsia" w:asciiTheme="minorEastAsia" w:hAnsiTheme="minorEastAsia" w:eastAsiaTheme="minorEastAsia"/>
          <w:color w:val="auto"/>
          <w:sz w:val="24"/>
          <w:szCs w:val="24"/>
        </w:rPr>
      </w:pPr>
      <w:r>
        <w:rPr>
          <w:rFonts w:asciiTheme="minorEastAsia" w:hAnsiTheme="minorEastAsia" w:eastAsiaTheme="minorEastAsia"/>
          <w:color w:val="auto"/>
          <w:sz w:val="24"/>
          <w:szCs w:val="24"/>
        </w:rPr>
        <w:t>药物相互作用审查</w:t>
      </w:r>
    </w:p>
    <w:p w14:paraId="2122F3EE">
      <w:pPr>
        <w:numPr>
          <w:ilvl w:val="0"/>
          <w:numId w:val="28"/>
        </w:numPr>
        <w:spacing w:line="360" w:lineRule="auto"/>
        <w:ind w:left="0" w:right="88" w:rightChars="42" w:firstLine="424" w:firstLineChars="177"/>
        <w:rPr>
          <w:rFonts w:hint="eastAsia" w:cs="Arial" w:asciiTheme="minorEastAsia" w:hAnsiTheme="minorEastAsia"/>
          <w:bCs/>
          <w:sz w:val="24"/>
          <w:szCs w:val="24"/>
        </w:rPr>
      </w:pPr>
      <w:r>
        <w:rPr>
          <w:rFonts w:cs="Arial" w:asciiTheme="minorEastAsia" w:hAnsiTheme="minorEastAsia"/>
          <w:bCs/>
          <w:sz w:val="24"/>
          <w:szCs w:val="24"/>
        </w:rPr>
        <w:t>本功能提示两种药品同时或间隔一定时间给予同一个病人时，可能出现的药理学效应。</w:t>
      </w:r>
    </w:p>
    <w:p w14:paraId="54F4C767">
      <w:pPr>
        <w:numPr>
          <w:ilvl w:val="0"/>
          <w:numId w:val="28"/>
        </w:numPr>
        <w:spacing w:line="360" w:lineRule="auto"/>
        <w:ind w:left="0" w:right="88" w:rightChars="42" w:firstLine="424" w:firstLineChars="177"/>
        <w:rPr>
          <w:rFonts w:hint="eastAsia" w:cs="Arial" w:asciiTheme="minorEastAsia" w:hAnsiTheme="minorEastAsia"/>
          <w:bCs/>
          <w:sz w:val="24"/>
          <w:szCs w:val="24"/>
        </w:rPr>
      </w:pPr>
      <w:r>
        <w:rPr>
          <w:rFonts w:cs="Arial" w:asciiTheme="minorEastAsia" w:hAnsiTheme="minorEastAsia"/>
          <w:bCs/>
          <w:sz w:val="24"/>
          <w:szCs w:val="24"/>
        </w:rPr>
        <w:t>系统对每一类药物相互作用均提供详细的综述性专论。</w:t>
      </w:r>
    </w:p>
    <w:p w14:paraId="4D92A15E">
      <w:pPr>
        <w:pStyle w:val="71"/>
        <w:numPr>
          <w:ilvl w:val="1"/>
          <w:numId w:val="27"/>
        </w:numPr>
        <w:spacing w:before="0" w:after="0"/>
        <w:rPr>
          <w:rFonts w:hint="eastAsia" w:asciiTheme="minorEastAsia" w:hAnsiTheme="minorEastAsia" w:eastAsiaTheme="minorEastAsia"/>
          <w:sz w:val="24"/>
          <w:szCs w:val="24"/>
        </w:rPr>
      </w:pPr>
      <w:r>
        <w:rPr>
          <w:rFonts w:asciiTheme="minorEastAsia" w:hAnsiTheme="minorEastAsia" w:eastAsiaTheme="minorEastAsia"/>
          <w:sz w:val="24"/>
          <w:szCs w:val="24"/>
        </w:rPr>
        <w:t>体外配伍审查</w:t>
      </w:r>
    </w:p>
    <w:p w14:paraId="0D458305">
      <w:pPr>
        <w:spacing w:line="360" w:lineRule="auto"/>
        <w:ind w:right="88" w:rightChars="42" w:firstLine="480" w:firstLineChars="200"/>
        <w:rPr>
          <w:rFonts w:hint="eastAsia" w:cs="Arial" w:asciiTheme="minorEastAsia" w:hAnsiTheme="minorEastAsia"/>
          <w:bCs/>
          <w:sz w:val="24"/>
          <w:szCs w:val="24"/>
        </w:rPr>
      </w:pPr>
      <w:r>
        <w:rPr>
          <w:rFonts w:cs="Arial" w:asciiTheme="minorEastAsia" w:hAnsiTheme="minorEastAsia"/>
          <w:bCs/>
          <w:sz w:val="24"/>
          <w:szCs w:val="24"/>
        </w:rPr>
        <w:t>本功能模块依据注射剂配伍的文献资料，提示在同时进行输注的处方药品间可能存在的体外配伍问题。本模块包含了注射药品之间、注射药品与溶媒之间的审查。</w:t>
      </w:r>
    </w:p>
    <w:p w14:paraId="3EC01190">
      <w:pPr>
        <w:pStyle w:val="71"/>
        <w:numPr>
          <w:ilvl w:val="1"/>
          <w:numId w:val="27"/>
        </w:numPr>
        <w:spacing w:before="0" w:after="0"/>
        <w:rPr>
          <w:rFonts w:hint="eastAsia" w:asciiTheme="minorEastAsia" w:hAnsiTheme="minorEastAsia" w:eastAsiaTheme="minorEastAsia"/>
          <w:sz w:val="24"/>
          <w:szCs w:val="24"/>
        </w:rPr>
      </w:pPr>
      <w:r>
        <w:rPr>
          <w:rFonts w:asciiTheme="minorEastAsia" w:hAnsiTheme="minorEastAsia" w:eastAsiaTheme="minorEastAsia"/>
          <w:sz w:val="24"/>
          <w:szCs w:val="24"/>
        </w:rPr>
        <w:t>配伍浓度审查</w:t>
      </w:r>
    </w:p>
    <w:p w14:paraId="696E845F">
      <w:pPr>
        <w:spacing w:line="360" w:lineRule="auto"/>
        <w:ind w:right="88" w:rightChars="42" w:firstLine="480" w:firstLineChars="200"/>
        <w:rPr>
          <w:rFonts w:hint="eastAsia" w:cs="Arial" w:asciiTheme="minorEastAsia" w:hAnsiTheme="minorEastAsia"/>
          <w:bCs/>
          <w:sz w:val="24"/>
          <w:szCs w:val="24"/>
        </w:rPr>
      </w:pPr>
      <w:r>
        <w:rPr>
          <w:rFonts w:cs="Arial" w:asciiTheme="minorEastAsia" w:hAnsiTheme="minorEastAsia"/>
          <w:bCs/>
          <w:sz w:val="24"/>
          <w:szCs w:val="24"/>
        </w:rPr>
        <w:t>本</w:t>
      </w:r>
      <w:r>
        <w:rPr>
          <w:rFonts w:hint="eastAsia" w:cs="Arial" w:asciiTheme="minorEastAsia" w:hAnsiTheme="minorEastAsia"/>
          <w:bCs/>
          <w:sz w:val="24"/>
          <w:szCs w:val="24"/>
        </w:rPr>
        <w:t>项</w:t>
      </w:r>
      <w:r>
        <w:rPr>
          <w:rFonts w:cs="Arial" w:asciiTheme="minorEastAsia" w:hAnsiTheme="minorEastAsia"/>
          <w:bCs/>
          <w:sz w:val="24"/>
          <w:szCs w:val="24"/>
        </w:rPr>
        <w:t>功能监测配伍后的药品浓度是否在药品说明书推荐的给药浓度范围内，若不在此范围内则系统发出警告提醒医生可能需要调整处方药品或溶媒的用量。</w:t>
      </w:r>
    </w:p>
    <w:p w14:paraId="4FD92027">
      <w:pPr>
        <w:pStyle w:val="71"/>
        <w:numPr>
          <w:ilvl w:val="1"/>
          <w:numId w:val="27"/>
        </w:numPr>
        <w:spacing w:before="0" w:after="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钾离子监测</w:t>
      </w:r>
    </w:p>
    <w:p w14:paraId="57B36ABB">
      <w:pPr>
        <w:spacing w:line="360" w:lineRule="auto"/>
        <w:ind w:right="88" w:rightChars="42" w:firstLine="480" w:firstLineChars="200"/>
        <w:rPr>
          <w:rFonts w:hint="eastAsia" w:cs="Arial" w:asciiTheme="minorEastAsia" w:hAnsiTheme="minorEastAsia"/>
          <w:bCs/>
          <w:sz w:val="24"/>
          <w:szCs w:val="24"/>
        </w:rPr>
      </w:pPr>
      <w:r>
        <w:rPr>
          <w:rFonts w:hint="eastAsia" w:cs="Arial" w:asciiTheme="minorEastAsia" w:hAnsiTheme="minorEastAsia"/>
          <w:bCs/>
          <w:sz w:val="24"/>
          <w:szCs w:val="24"/>
        </w:rPr>
        <w:t>本项功能检查一个或多个含钾药物和其它注射剂药物配伍使用时，配伍后的注射液钾离子滴速、总浓度、每日补钾量是否合理。若不合理则系统发出警告提醒医生可能需要调整病人的处方药品或溶媒的用量，并将计算过程展现在警示信息中。</w:t>
      </w:r>
    </w:p>
    <w:p w14:paraId="19127DB9">
      <w:pPr>
        <w:pStyle w:val="71"/>
        <w:numPr>
          <w:ilvl w:val="1"/>
          <w:numId w:val="27"/>
        </w:numPr>
        <w:spacing w:before="0" w:after="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TPN审查</w:t>
      </w:r>
    </w:p>
    <w:p w14:paraId="756DEA5C">
      <w:pPr>
        <w:spacing w:line="360" w:lineRule="auto"/>
        <w:ind w:right="88" w:rightChars="42" w:firstLine="480" w:firstLineChars="200"/>
        <w:rPr>
          <w:rFonts w:hint="eastAsia" w:cs="Arial" w:asciiTheme="minorEastAsia" w:hAnsiTheme="minorEastAsia"/>
          <w:bCs/>
          <w:sz w:val="24"/>
          <w:szCs w:val="24"/>
        </w:rPr>
      </w:pPr>
      <w:r>
        <w:rPr>
          <w:rFonts w:hint="eastAsia" w:cs="Arial" w:asciiTheme="minorEastAsia" w:hAnsiTheme="minorEastAsia"/>
          <w:bCs/>
          <w:sz w:val="24"/>
          <w:szCs w:val="24"/>
        </w:rPr>
        <w:t>本项功能检查TPN处方（医嘱）中的电解质、氨基酸、脂肪乳、金属离子等营养物质比例是否均衡、浓度是否合理，每日补液量是否合理，溶液中渗透压是否合理，并将计算过程展现在警示信息中。可按早产儿、儿童、成人分别进行营养均衡性审查。</w:t>
      </w:r>
    </w:p>
    <w:p w14:paraId="14C4C88E">
      <w:pPr>
        <w:pStyle w:val="71"/>
        <w:numPr>
          <w:ilvl w:val="1"/>
          <w:numId w:val="27"/>
        </w:numPr>
        <w:spacing w:before="0" w:after="0"/>
        <w:rPr>
          <w:rFonts w:hint="eastAsia" w:asciiTheme="minorEastAsia" w:hAnsiTheme="minorEastAsia" w:eastAsiaTheme="minorEastAsia"/>
          <w:sz w:val="24"/>
          <w:szCs w:val="24"/>
        </w:rPr>
      </w:pPr>
      <w:r>
        <w:rPr>
          <w:rFonts w:asciiTheme="minorEastAsia" w:hAnsiTheme="minorEastAsia" w:eastAsiaTheme="minorEastAsia"/>
          <w:sz w:val="24"/>
          <w:szCs w:val="24"/>
        </w:rPr>
        <w:t>药物禁忌审查</w:t>
      </w:r>
    </w:p>
    <w:p w14:paraId="5C4EB03F">
      <w:pPr>
        <w:spacing w:line="360" w:lineRule="auto"/>
        <w:ind w:right="88" w:rightChars="42" w:firstLine="480" w:firstLineChars="200"/>
        <w:rPr>
          <w:rFonts w:hint="eastAsia" w:cs="Arial" w:asciiTheme="minorEastAsia" w:hAnsiTheme="minorEastAsia"/>
          <w:bCs/>
          <w:sz w:val="24"/>
          <w:szCs w:val="24"/>
        </w:rPr>
      </w:pPr>
      <w:r>
        <w:rPr>
          <w:rFonts w:cs="Arial" w:asciiTheme="minorEastAsia" w:hAnsiTheme="minorEastAsia"/>
          <w:bCs/>
          <w:sz w:val="24"/>
          <w:szCs w:val="24"/>
        </w:rPr>
        <w:t>本项功能提示处方药品是否存在与病人病生状态相关联的禁忌症。</w:t>
      </w:r>
      <w:r>
        <w:rPr>
          <w:rFonts w:hint="eastAsia" w:cs="Arial" w:asciiTheme="minorEastAsia" w:hAnsiTheme="minorEastAsia"/>
          <w:bCs/>
          <w:sz w:val="24"/>
          <w:szCs w:val="24"/>
        </w:rPr>
        <w:t>支持结合妊娠状态审查药物禁忌症问题。</w:t>
      </w:r>
    </w:p>
    <w:p w14:paraId="51CC57B9">
      <w:pPr>
        <w:pStyle w:val="71"/>
        <w:numPr>
          <w:ilvl w:val="1"/>
          <w:numId w:val="27"/>
        </w:numPr>
        <w:spacing w:before="0" w:after="0"/>
        <w:rPr>
          <w:rFonts w:hint="eastAsia" w:asciiTheme="minorEastAsia" w:hAnsiTheme="minorEastAsia" w:eastAsiaTheme="minorEastAsia"/>
          <w:sz w:val="24"/>
          <w:szCs w:val="24"/>
        </w:rPr>
      </w:pPr>
      <w:r>
        <w:rPr>
          <w:rFonts w:asciiTheme="minorEastAsia" w:hAnsiTheme="minorEastAsia" w:eastAsiaTheme="minorEastAsia"/>
          <w:sz w:val="24"/>
          <w:szCs w:val="24"/>
        </w:rPr>
        <w:t>不良反应审查</w:t>
      </w:r>
    </w:p>
    <w:p w14:paraId="274E3132">
      <w:pPr>
        <w:spacing w:line="360" w:lineRule="auto"/>
        <w:ind w:right="88" w:rightChars="42" w:firstLine="480" w:firstLineChars="200"/>
        <w:rPr>
          <w:rFonts w:hint="eastAsia" w:cs="Arial" w:asciiTheme="minorEastAsia" w:hAnsiTheme="minorEastAsia"/>
          <w:bCs/>
          <w:sz w:val="24"/>
          <w:szCs w:val="24"/>
        </w:rPr>
      </w:pPr>
      <w:r>
        <w:rPr>
          <w:rFonts w:cs="Arial" w:asciiTheme="minorEastAsia" w:hAnsiTheme="minorEastAsia"/>
          <w:bCs/>
          <w:sz w:val="24"/>
          <w:szCs w:val="24"/>
        </w:rPr>
        <w:t>本项功能提示处方药品是否存在与病人病生状态相关联的不良反应。</w:t>
      </w:r>
    </w:p>
    <w:p w14:paraId="7DC20E99">
      <w:pPr>
        <w:pStyle w:val="71"/>
        <w:numPr>
          <w:ilvl w:val="1"/>
          <w:numId w:val="27"/>
        </w:numPr>
        <w:spacing w:before="0" w:after="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门诊输液</w:t>
      </w:r>
    </w:p>
    <w:p w14:paraId="18B6EFB5">
      <w:pPr>
        <w:spacing w:line="360" w:lineRule="auto"/>
        <w:ind w:right="88" w:rightChars="42" w:firstLine="480" w:firstLineChars="200"/>
        <w:rPr>
          <w:rFonts w:hint="eastAsia" w:cs="Arial" w:asciiTheme="minorEastAsia" w:hAnsiTheme="minorEastAsia"/>
          <w:bCs/>
          <w:sz w:val="24"/>
          <w:szCs w:val="24"/>
        </w:rPr>
      </w:pPr>
      <w:r>
        <w:rPr>
          <w:rFonts w:hint="eastAsia" w:cs="Arial" w:asciiTheme="minorEastAsia" w:hAnsiTheme="minorEastAsia"/>
          <w:bCs/>
          <w:sz w:val="24"/>
          <w:szCs w:val="24"/>
        </w:rPr>
        <w:t>本项功能模块能够按照医院规定的门诊限制输液科室和疾病清单，监测医生开出的处方输液药品是否满足科室和疾病要求，如门诊处方输液药品超适应症、超科室使用权限可以提示医生。</w:t>
      </w:r>
    </w:p>
    <w:p w14:paraId="51C2CA13">
      <w:pPr>
        <w:pStyle w:val="71"/>
        <w:numPr>
          <w:ilvl w:val="1"/>
          <w:numId w:val="27"/>
        </w:numPr>
        <w:spacing w:before="0" w:after="0"/>
        <w:rPr>
          <w:rFonts w:hint="eastAsia" w:asciiTheme="minorEastAsia" w:hAnsiTheme="minorEastAsia" w:eastAsiaTheme="minorEastAsia"/>
          <w:sz w:val="24"/>
          <w:szCs w:val="24"/>
        </w:rPr>
      </w:pPr>
      <w:r>
        <w:rPr>
          <w:rFonts w:asciiTheme="minorEastAsia" w:hAnsiTheme="minorEastAsia" w:eastAsiaTheme="minorEastAsia"/>
          <w:sz w:val="24"/>
          <w:szCs w:val="24"/>
        </w:rPr>
        <w:t>特殊人群用药审查</w:t>
      </w:r>
    </w:p>
    <w:p w14:paraId="38CF1E1C">
      <w:pPr>
        <w:spacing w:line="360" w:lineRule="auto"/>
        <w:ind w:left="2" w:right="88" w:rightChars="42" w:firstLine="2"/>
        <w:rPr>
          <w:rFonts w:hint="eastAsia" w:cs="Arial" w:asciiTheme="minorEastAsia" w:hAnsiTheme="minorEastAsia"/>
          <w:bCs/>
          <w:sz w:val="24"/>
          <w:szCs w:val="24"/>
        </w:rPr>
      </w:pPr>
      <w:r>
        <w:rPr>
          <w:rFonts w:cs="Arial" w:asciiTheme="minorEastAsia" w:hAnsiTheme="minorEastAsia"/>
          <w:bCs/>
          <w:sz w:val="24"/>
          <w:szCs w:val="24"/>
        </w:rPr>
        <w:t xml:space="preserve">    包括“老人用药审查”、“儿童用药审查”、“妊娠用药审查”、“哺乳用药审查”、 “成人用药审查”、“性别用药审查”。</w:t>
      </w:r>
    </w:p>
    <w:p w14:paraId="7CC2DE87">
      <w:pPr>
        <w:pStyle w:val="72"/>
        <w:numPr>
          <w:ilvl w:val="2"/>
          <w:numId w:val="27"/>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老人</w:t>
      </w:r>
      <w:r>
        <w:rPr>
          <w:rFonts w:asciiTheme="minorEastAsia" w:hAnsiTheme="minorEastAsia" w:eastAsiaTheme="minorEastAsia"/>
          <w:sz w:val="24"/>
          <w:szCs w:val="24"/>
        </w:rPr>
        <w:t>用药审查</w:t>
      </w:r>
    </w:p>
    <w:p w14:paraId="5ADFD063">
      <w:pPr>
        <w:spacing w:line="360" w:lineRule="auto"/>
        <w:ind w:left="2" w:leftChars="1" w:right="88" w:rightChars="42" w:firstLine="472" w:firstLineChars="197"/>
        <w:rPr>
          <w:rFonts w:hint="eastAsia" w:cs="Arial" w:asciiTheme="minorEastAsia" w:hAnsiTheme="minorEastAsia"/>
          <w:bCs/>
          <w:sz w:val="24"/>
          <w:szCs w:val="24"/>
        </w:rPr>
      </w:pPr>
      <w:r>
        <w:rPr>
          <w:rFonts w:cs="Arial" w:asciiTheme="minorEastAsia" w:hAnsiTheme="minorEastAsia"/>
          <w:bCs/>
          <w:sz w:val="24"/>
          <w:szCs w:val="24"/>
        </w:rPr>
        <w:t>本功能提示当病人为老人（根据病人年龄和老年人年龄分段设置情况判断，可以关联病生状态），其处方药品中是否存在应禁忌或慎用于老人的药品。</w:t>
      </w:r>
    </w:p>
    <w:p w14:paraId="574A3CCE">
      <w:pPr>
        <w:pStyle w:val="72"/>
        <w:numPr>
          <w:ilvl w:val="2"/>
          <w:numId w:val="27"/>
        </w:numPr>
        <w:spacing w:before="0" w:after="0" w:line="360" w:lineRule="auto"/>
        <w:rPr>
          <w:rFonts w:hint="eastAsia" w:asciiTheme="minorEastAsia" w:hAnsiTheme="minorEastAsia" w:eastAsiaTheme="minorEastAsia"/>
          <w:sz w:val="24"/>
          <w:szCs w:val="24"/>
        </w:rPr>
      </w:pPr>
      <w:r>
        <w:rPr>
          <w:rFonts w:asciiTheme="minorEastAsia" w:hAnsiTheme="minorEastAsia" w:eastAsiaTheme="minorEastAsia"/>
          <w:sz w:val="24"/>
          <w:szCs w:val="24"/>
        </w:rPr>
        <w:t>儿童用药审查</w:t>
      </w:r>
    </w:p>
    <w:p w14:paraId="560B98AE">
      <w:pPr>
        <w:spacing w:line="360" w:lineRule="auto"/>
        <w:ind w:right="88" w:rightChars="42" w:firstLine="470" w:firstLineChars="196"/>
        <w:rPr>
          <w:rFonts w:hint="eastAsia" w:cs="Arial" w:asciiTheme="minorEastAsia" w:hAnsiTheme="minorEastAsia"/>
          <w:bCs/>
          <w:sz w:val="24"/>
          <w:szCs w:val="24"/>
        </w:rPr>
      </w:pPr>
      <w:r>
        <w:rPr>
          <w:rFonts w:cs="Arial" w:asciiTheme="minorEastAsia" w:hAnsiTheme="minorEastAsia"/>
          <w:bCs/>
          <w:sz w:val="24"/>
          <w:szCs w:val="24"/>
        </w:rPr>
        <w:t>本功能提示当病人为儿童（根据病人年龄判断），其处方药品中是否存在可能不适于儿童使用的药品。</w:t>
      </w:r>
    </w:p>
    <w:p w14:paraId="15ED2FFE">
      <w:pPr>
        <w:pStyle w:val="72"/>
        <w:numPr>
          <w:ilvl w:val="2"/>
          <w:numId w:val="27"/>
        </w:numPr>
        <w:spacing w:before="0" w:after="0" w:line="360" w:lineRule="auto"/>
        <w:rPr>
          <w:rFonts w:hint="eastAsia" w:asciiTheme="minorEastAsia" w:hAnsiTheme="minorEastAsia" w:eastAsiaTheme="minorEastAsia"/>
          <w:sz w:val="24"/>
          <w:szCs w:val="24"/>
        </w:rPr>
      </w:pPr>
      <w:r>
        <w:rPr>
          <w:rFonts w:asciiTheme="minorEastAsia" w:hAnsiTheme="minorEastAsia" w:eastAsiaTheme="minorEastAsia"/>
          <w:sz w:val="24"/>
          <w:szCs w:val="24"/>
        </w:rPr>
        <w:t>妊娠用药审查</w:t>
      </w:r>
    </w:p>
    <w:p w14:paraId="4756E283">
      <w:pPr>
        <w:spacing w:line="360" w:lineRule="auto"/>
        <w:ind w:right="88" w:rightChars="42" w:firstLine="470" w:firstLineChars="196"/>
        <w:rPr>
          <w:rFonts w:hint="eastAsia" w:cs="Arial" w:asciiTheme="minorEastAsia" w:hAnsiTheme="minorEastAsia"/>
          <w:bCs/>
          <w:sz w:val="24"/>
          <w:szCs w:val="24"/>
        </w:rPr>
      </w:pPr>
      <w:r>
        <w:rPr>
          <w:rFonts w:cs="Arial" w:asciiTheme="minorEastAsia" w:hAnsiTheme="minorEastAsia"/>
          <w:bCs/>
          <w:sz w:val="24"/>
          <w:szCs w:val="24"/>
        </w:rPr>
        <w:t>本功能提示当病人为妊娠妇女（根据病人病生状态信息判断），其处方药品中是否存在不适于妊娠使用的药品。</w:t>
      </w:r>
    </w:p>
    <w:p w14:paraId="6B3CA11E">
      <w:pPr>
        <w:pStyle w:val="72"/>
        <w:numPr>
          <w:ilvl w:val="2"/>
          <w:numId w:val="27"/>
        </w:numPr>
        <w:spacing w:before="0" w:after="0" w:line="360" w:lineRule="auto"/>
        <w:rPr>
          <w:rFonts w:hint="eastAsia" w:asciiTheme="minorEastAsia" w:hAnsiTheme="minorEastAsia" w:eastAsiaTheme="minorEastAsia"/>
          <w:sz w:val="24"/>
          <w:szCs w:val="24"/>
        </w:rPr>
      </w:pPr>
      <w:r>
        <w:rPr>
          <w:rFonts w:asciiTheme="minorEastAsia" w:hAnsiTheme="minorEastAsia" w:eastAsiaTheme="minorEastAsia"/>
          <w:sz w:val="24"/>
          <w:szCs w:val="24"/>
        </w:rPr>
        <w:t>哺乳用药审查</w:t>
      </w:r>
    </w:p>
    <w:p w14:paraId="0FFDDA76">
      <w:pPr>
        <w:spacing w:line="360" w:lineRule="auto"/>
        <w:ind w:right="88" w:rightChars="42" w:firstLine="470" w:firstLineChars="196"/>
        <w:rPr>
          <w:rFonts w:hint="eastAsia" w:cs="Arial" w:asciiTheme="minorEastAsia" w:hAnsiTheme="minorEastAsia"/>
          <w:bCs/>
          <w:sz w:val="24"/>
          <w:szCs w:val="24"/>
        </w:rPr>
      </w:pPr>
      <w:r>
        <w:rPr>
          <w:rFonts w:cs="Arial" w:asciiTheme="minorEastAsia" w:hAnsiTheme="minorEastAsia"/>
          <w:bCs/>
          <w:sz w:val="24"/>
          <w:szCs w:val="24"/>
        </w:rPr>
        <w:t>本功能提示当病人为哺乳妇女（根据病人病生状态信息判断），其处方药品中是否存在不适于哺乳使用的药品。</w:t>
      </w:r>
    </w:p>
    <w:p w14:paraId="18B29D56">
      <w:pPr>
        <w:pStyle w:val="72"/>
        <w:numPr>
          <w:ilvl w:val="2"/>
          <w:numId w:val="27"/>
        </w:numPr>
        <w:spacing w:before="0" w:after="0" w:line="360" w:lineRule="auto"/>
        <w:rPr>
          <w:rFonts w:hint="eastAsia" w:asciiTheme="minorEastAsia" w:hAnsiTheme="minorEastAsia" w:eastAsiaTheme="minorEastAsia"/>
          <w:sz w:val="24"/>
          <w:szCs w:val="24"/>
        </w:rPr>
      </w:pPr>
      <w:r>
        <w:rPr>
          <w:rFonts w:asciiTheme="minorEastAsia" w:hAnsiTheme="minorEastAsia" w:eastAsiaTheme="minorEastAsia"/>
          <w:sz w:val="24"/>
          <w:szCs w:val="24"/>
        </w:rPr>
        <w:t>成人用药审查</w:t>
      </w:r>
    </w:p>
    <w:p w14:paraId="174AB620">
      <w:pPr>
        <w:spacing w:line="360" w:lineRule="auto"/>
        <w:ind w:right="88" w:rightChars="42" w:firstLine="470" w:firstLineChars="196"/>
        <w:rPr>
          <w:rFonts w:hint="eastAsia" w:cs="Arial" w:asciiTheme="minorEastAsia" w:hAnsiTheme="minorEastAsia"/>
          <w:bCs/>
          <w:sz w:val="24"/>
          <w:szCs w:val="24"/>
        </w:rPr>
      </w:pPr>
      <w:r>
        <w:rPr>
          <w:rFonts w:cs="Arial" w:asciiTheme="minorEastAsia" w:hAnsiTheme="minorEastAsia"/>
          <w:bCs/>
          <w:sz w:val="24"/>
          <w:szCs w:val="24"/>
        </w:rPr>
        <w:t>本功能提示处方中是否使用了不适宜成年人使用某些药品，如多巴丝肼片不能用于25岁以下的成人。</w:t>
      </w:r>
    </w:p>
    <w:p w14:paraId="2839A0D9">
      <w:pPr>
        <w:pStyle w:val="72"/>
        <w:numPr>
          <w:ilvl w:val="2"/>
          <w:numId w:val="27"/>
        </w:numPr>
        <w:spacing w:before="0" w:after="0" w:line="360" w:lineRule="auto"/>
        <w:rPr>
          <w:rFonts w:hint="eastAsia" w:asciiTheme="minorEastAsia" w:hAnsiTheme="minorEastAsia" w:eastAsiaTheme="minorEastAsia"/>
          <w:sz w:val="24"/>
          <w:szCs w:val="24"/>
        </w:rPr>
      </w:pPr>
      <w:r>
        <w:rPr>
          <w:rFonts w:asciiTheme="minorEastAsia" w:hAnsiTheme="minorEastAsia" w:eastAsiaTheme="minorEastAsia"/>
          <w:sz w:val="24"/>
          <w:szCs w:val="24"/>
        </w:rPr>
        <w:t>性别用药审查</w:t>
      </w:r>
    </w:p>
    <w:p w14:paraId="45DC79A7">
      <w:pPr>
        <w:spacing w:line="360" w:lineRule="auto"/>
        <w:ind w:right="88" w:rightChars="42" w:firstLine="470" w:firstLineChars="196"/>
        <w:rPr>
          <w:rFonts w:hint="eastAsia" w:cs="Arial" w:asciiTheme="minorEastAsia" w:hAnsiTheme="minorEastAsia"/>
          <w:bCs/>
          <w:sz w:val="24"/>
          <w:szCs w:val="24"/>
        </w:rPr>
      </w:pPr>
      <w:r>
        <w:rPr>
          <w:rFonts w:cs="Arial" w:asciiTheme="minorEastAsia" w:hAnsiTheme="minorEastAsia"/>
          <w:bCs/>
          <w:sz w:val="24"/>
          <w:szCs w:val="24"/>
        </w:rPr>
        <w:t>本功能提示处方中是否使用了不适宜此病人性别的药品，</w:t>
      </w:r>
      <w:r>
        <w:rPr>
          <w:rFonts w:hint="eastAsia" w:cs="Arial" w:asciiTheme="minorEastAsia" w:hAnsiTheme="minorEastAsia"/>
          <w:bCs/>
          <w:sz w:val="24"/>
          <w:szCs w:val="24"/>
        </w:rPr>
        <w:t>如乌鸡白凤丸，用于气血两虚、腰膝酸软、调经止带，则不适宜用于男性患者</w:t>
      </w:r>
      <w:r>
        <w:rPr>
          <w:rFonts w:cs="Arial" w:asciiTheme="minorEastAsia" w:hAnsiTheme="minorEastAsia"/>
          <w:bCs/>
          <w:sz w:val="24"/>
          <w:szCs w:val="24"/>
        </w:rPr>
        <w:t>。</w:t>
      </w:r>
    </w:p>
    <w:p w14:paraId="3633C6D2">
      <w:pPr>
        <w:pStyle w:val="71"/>
        <w:numPr>
          <w:ilvl w:val="1"/>
          <w:numId w:val="27"/>
        </w:numPr>
        <w:spacing w:before="0" w:after="0"/>
        <w:rPr>
          <w:rFonts w:hint="eastAsia" w:asciiTheme="minorEastAsia" w:hAnsiTheme="minorEastAsia" w:eastAsiaTheme="minorEastAsia"/>
          <w:sz w:val="24"/>
          <w:szCs w:val="24"/>
        </w:rPr>
      </w:pPr>
      <w:r>
        <w:rPr>
          <w:rFonts w:asciiTheme="minorEastAsia" w:hAnsiTheme="minorEastAsia" w:eastAsiaTheme="minorEastAsia"/>
          <w:sz w:val="24"/>
          <w:szCs w:val="24"/>
        </w:rPr>
        <w:t>药物过敏审查</w:t>
      </w:r>
    </w:p>
    <w:p w14:paraId="7B5F473E">
      <w:pPr>
        <w:spacing w:line="360" w:lineRule="auto"/>
        <w:ind w:right="88" w:rightChars="42" w:firstLine="480" w:firstLineChars="200"/>
        <w:rPr>
          <w:rFonts w:hint="eastAsia" w:cs="Arial" w:asciiTheme="minorEastAsia" w:hAnsiTheme="minorEastAsia"/>
          <w:bCs/>
          <w:sz w:val="24"/>
          <w:szCs w:val="24"/>
        </w:rPr>
      </w:pPr>
      <w:r>
        <w:rPr>
          <w:rFonts w:cs="Arial" w:asciiTheme="minorEastAsia" w:hAnsiTheme="minorEastAsia"/>
          <w:bCs/>
          <w:sz w:val="24"/>
          <w:szCs w:val="24"/>
        </w:rPr>
        <w:t>本项功能是在获取病人既往过敏药物信息的基础上，可结合皮试结果</w:t>
      </w:r>
      <w:r>
        <w:rPr>
          <w:rFonts w:hint="eastAsia" w:cs="Arial" w:asciiTheme="minorEastAsia" w:hAnsiTheme="minorEastAsia"/>
          <w:bCs/>
          <w:sz w:val="24"/>
          <w:szCs w:val="24"/>
        </w:rPr>
        <w:t>，</w:t>
      </w:r>
      <w:r>
        <w:rPr>
          <w:rFonts w:cs="Arial" w:asciiTheme="minorEastAsia" w:hAnsiTheme="minorEastAsia"/>
          <w:bCs/>
          <w:sz w:val="24"/>
          <w:szCs w:val="24"/>
        </w:rPr>
        <w:t>提示病人用药处方中是否存在与病人既往过敏药物相关的、可能导致类似过敏反应的药品，并可对皮试结果阳性的药品医嘱进行拦截。本模块数据包含了药物的成分过敏、基本成分过敏、特异过敏组及交叉过敏组的全部可能过敏药物的提示。</w:t>
      </w:r>
    </w:p>
    <w:p w14:paraId="113D1761">
      <w:pPr>
        <w:pStyle w:val="71"/>
        <w:numPr>
          <w:ilvl w:val="1"/>
          <w:numId w:val="27"/>
        </w:numPr>
        <w:spacing w:before="0" w:after="0"/>
        <w:rPr>
          <w:rFonts w:hint="eastAsia" w:asciiTheme="minorEastAsia" w:hAnsiTheme="minorEastAsia" w:eastAsiaTheme="minorEastAsia"/>
          <w:sz w:val="24"/>
          <w:szCs w:val="24"/>
        </w:rPr>
      </w:pPr>
      <w:r>
        <w:rPr>
          <w:rFonts w:asciiTheme="minorEastAsia" w:hAnsiTheme="minorEastAsia" w:eastAsiaTheme="minorEastAsia"/>
          <w:sz w:val="24"/>
          <w:szCs w:val="24"/>
        </w:rPr>
        <w:t>给药途径审查</w:t>
      </w:r>
    </w:p>
    <w:p w14:paraId="6FB68F78">
      <w:pPr>
        <w:numPr>
          <w:ilvl w:val="0"/>
          <w:numId w:val="29"/>
        </w:numPr>
        <w:spacing w:line="360" w:lineRule="auto"/>
        <w:ind w:left="0" w:right="88" w:rightChars="42" w:firstLine="426"/>
        <w:rPr>
          <w:rFonts w:hint="eastAsia" w:cs="Arial" w:asciiTheme="minorEastAsia" w:hAnsiTheme="minorEastAsia"/>
          <w:bCs/>
          <w:sz w:val="24"/>
          <w:szCs w:val="24"/>
        </w:rPr>
      </w:pPr>
      <w:r>
        <w:rPr>
          <w:rFonts w:cs="Arial" w:asciiTheme="minorEastAsia" w:hAnsiTheme="minorEastAsia"/>
          <w:bCs/>
          <w:sz w:val="24"/>
          <w:szCs w:val="24"/>
        </w:rPr>
        <w:t>本项功能提示处方药品中可能存在的剂型与给药途径不匹配问题。</w:t>
      </w:r>
    </w:p>
    <w:p w14:paraId="49AAE761">
      <w:pPr>
        <w:numPr>
          <w:ilvl w:val="0"/>
          <w:numId w:val="29"/>
        </w:numPr>
        <w:spacing w:line="360" w:lineRule="auto"/>
        <w:ind w:left="0" w:right="88" w:rightChars="42" w:firstLine="426"/>
        <w:rPr>
          <w:rFonts w:hint="eastAsia" w:cs="Arial" w:asciiTheme="minorEastAsia" w:hAnsiTheme="minorEastAsia"/>
          <w:bCs/>
          <w:sz w:val="24"/>
          <w:szCs w:val="24"/>
        </w:rPr>
      </w:pPr>
      <w:r>
        <w:rPr>
          <w:rFonts w:cs="Arial" w:asciiTheme="minorEastAsia" w:hAnsiTheme="minorEastAsia"/>
          <w:bCs/>
          <w:sz w:val="24"/>
          <w:szCs w:val="24"/>
        </w:rPr>
        <w:t>还能提示处方中是否存在药物被用于不恰当给药途径的情况。</w:t>
      </w:r>
    </w:p>
    <w:p w14:paraId="3C7B4696">
      <w:pPr>
        <w:pStyle w:val="71"/>
        <w:numPr>
          <w:ilvl w:val="1"/>
          <w:numId w:val="27"/>
        </w:numPr>
        <w:spacing w:before="0" w:after="0"/>
        <w:rPr>
          <w:rFonts w:hint="eastAsia" w:asciiTheme="minorEastAsia" w:hAnsiTheme="minorEastAsia" w:eastAsiaTheme="minorEastAsia"/>
          <w:sz w:val="24"/>
          <w:szCs w:val="24"/>
        </w:rPr>
      </w:pPr>
      <w:r>
        <w:rPr>
          <w:rFonts w:asciiTheme="minorEastAsia" w:hAnsiTheme="minorEastAsia" w:eastAsiaTheme="minorEastAsia"/>
          <w:sz w:val="24"/>
          <w:szCs w:val="24"/>
        </w:rPr>
        <w:t>重复用药审查</w:t>
      </w:r>
    </w:p>
    <w:p w14:paraId="604FB3DE">
      <w:pPr>
        <w:numPr>
          <w:ilvl w:val="0"/>
          <w:numId w:val="30"/>
        </w:numPr>
        <w:spacing w:line="360" w:lineRule="auto"/>
        <w:ind w:left="0" w:right="88" w:rightChars="42" w:firstLine="426"/>
        <w:rPr>
          <w:rFonts w:hint="eastAsia" w:cs="Arial" w:asciiTheme="minorEastAsia" w:hAnsiTheme="minorEastAsia"/>
          <w:bCs/>
          <w:sz w:val="24"/>
          <w:szCs w:val="24"/>
        </w:rPr>
      </w:pPr>
      <w:r>
        <w:rPr>
          <w:rFonts w:cs="Arial" w:asciiTheme="minorEastAsia" w:hAnsiTheme="minorEastAsia"/>
          <w:bCs/>
          <w:sz w:val="24"/>
          <w:szCs w:val="24"/>
        </w:rPr>
        <w:t>提示病人用药处方中的两个或多个药品是否存在相同的药物成分，可能存在重复用药问题。</w:t>
      </w:r>
    </w:p>
    <w:p w14:paraId="6CB44182">
      <w:pPr>
        <w:numPr>
          <w:ilvl w:val="0"/>
          <w:numId w:val="30"/>
        </w:numPr>
        <w:tabs>
          <w:tab w:val="left" w:pos="426"/>
        </w:tabs>
        <w:spacing w:line="360" w:lineRule="auto"/>
        <w:ind w:left="0" w:right="88" w:rightChars="42" w:firstLine="426"/>
        <w:rPr>
          <w:rFonts w:hint="eastAsia" w:cs="Arial" w:asciiTheme="minorEastAsia" w:hAnsiTheme="minorEastAsia"/>
          <w:bCs/>
          <w:sz w:val="24"/>
          <w:szCs w:val="24"/>
        </w:rPr>
      </w:pPr>
      <w:r>
        <w:rPr>
          <w:rFonts w:cs="Arial" w:asciiTheme="minorEastAsia" w:hAnsiTheme="minorEastAsia"/>
          <w:bCs/>
          <w:sz w:val="24"/>
          <w:szCs w:val="24"/>
        </w:rPr>
        <w:t>还能提示病人用药处方中的两个或多个药品是否同属某个药物治疗分类，可能存在重复用药问题。</w:t>
      </w:r>
    </w:p>
    <w:p w14:paraId="5A420DB6">
      <w:pPr>
        <w:pStyle w:val="71"/>
        <w:numPr>
          <w:ilvl w:val="1"/>
          <w:numId w:val="27"/>
        </w:numPr>
        <w:spacing w:before="0" w:after="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药物检验值审查</w:t>
      </w:r>
    </w:p>
    <w:p w14:paraId="3314F821">
      <w:pPr>
        <w:spacing w:line="360" w:lineRule="auto"/>
        <w:ind w:right="88" w:rightChars="42" w:firstLine="480" w:firstLineChars="200"/>
        <w:rPr>
          <w:rFonts w:hint="eastAsia" w:cs="Arial" w:asciiTheme="minorEastAsia" w:hAnsiTheme="minorEastAsia"/>
          <w:bCs/>
          <w:sz w:val="24"/>
          <w:szCs w:val="24"/>
        </w:rPr>
      </w:pPr>
      <w:r>
        <w:rPr>
          <w:rFonts w:hint="eastAsia" w:cs="Arial" w:asciiTheme="minorEastAsia" w:hAnsiTheme="minorEastAsia"/>
          <w:bCs/>
          <w:sz w:val="24"/>
          <w:szCs w:val="24"/>
        </w:rPr>
        <w:t>本功能可直接根据获取的患者检验值审查处方（医嘱）药品使用是否合理。</w:t>
      </w:r>
    </w:p>
    <w:p w14:paraId="467FCAE0">
      <w:pPr>
        <w:pStyle w:val="71"/>
        <w:numPr>
          <w:ilvl w:val="1"/>
          <w:numId w:val="27"/>
        </w:numPr>
        <w:spacing w:before="0" w:after="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检验检查申请单审查</w:t>
      </w:r>
    </w:p>
    <w:p w14:paraId="2F96D8C1">
      <w:pPr>
        <w:spacing w:line="360" w:lineRule="auto"/>
        <w:ind w:right="88" w:rightChars="42" w:firstLine="480" w:firstLineChars="200"/>
        <w:rPr>
          <w:rFonts w:hint="eastAsia" w:cs="Arial" w:asciiTheme="minorEastAsia" w:hAnsiTheme="minorEastAsia"/>
          <w:bCs/>
          <w:sz w:val="24"/>
          <w:szCs w:val="24"/>
        </w:rPr>
      </w:pPr>
      <w:r>
        <w:rPr>
          <w:rFonts w:hint="eastAsia" w:cs="Arial" w:asciiTheme="minorEastAsia" w:hAnsiTheme="minorEastAsia"/>
          <w:bCs/>
          <w:sz w:val="24"/>
          <w:szCs w:val="24"/>
        </w:rPr>
        <w:t>本功能检查医生开处方时，开具的检验检查申请单是否与患者基本情况（性别、年龄、诊断）相符，如男性患者开具了妇科相关检查，系统会警示提醒医生该检查项目与患者性别不符。</w:t>
      </w:r>
    </w:p>
    <w:p w14:paraId="490634BC">
      <w:pPr>
        <w:pStyle w:val="71"/>
        <w:numPr>
          <w:ilvl w:val="1"/>
          <w:numId w:val="27"/>
        </w:numPr>
        <w:spacing w:before="0" w:after="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规范性审查</w:t>
      </w:r>
    </w:p>
    <w:p w14:paraId="0E21FB39">
      <w:pPr>
        <w:spacing w:line="360" w:lineRule="auto"/>
        <w:ind w:right="88" w:rightChars="42" w:firstLine="480" w:firstLineChars="200"/>
        <w:rPr>
          <w:rFonts w:hint="eastAsia" w:cs="Arial" w:asciiTheme="minorEastAsia" w:hAnsiTheme="minorEastAsia"/>
          <w:bCs/>
          <w:sz w:val="24"/>
          <w:szCs w:val="24"/>
        </w:rPr>
      </w:pPr>
      <w:r>
        <w:rPr>
          <w:rFonts w:hint="eastAsia" w:cs="Arial" w:asciiTheme="minorEastAsia" w:hAnsiTheme="minorEastAsia"/>
          <w:bCs/>
          <w:sz w:val="24"/>
          <w:szCs w:val="24"/>
        </w:rPr>
        <w:t>本功能根据《处方管理办法》中对处方规范性的要求，检查医生开具的处方是否合规，如是否按照规定填写患者姓名、性别、婴幼儿年龄、诊断，诊断是否与年龄、性别相符等。还可审查需皮试药品是否按要求进行皮试，以及药品开出数量是否为计价单位的整数倍。</w:t>
      </w:r>
    </w:p>
    <w:p w14:paraId="48AF74E6">
      <w:pPr>
        <w:pStyle w:val="71"/>
        <w:numPr>
          <w:ilvl w:val="1"/>
          <w:numId w:val="27"/>
        </w:numPr>
        <w:spacing w:before="0" w:after="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医保审查</w:t>
      </w:r>
    </w:p>
    <w:p w14:paraId="0E24886E">
      <w:pPr>
        <w:spacing w:line="360" w:lineRule="auto"/>
        <w:ind w:right="88" w:rightChars="42" w:firstLine="480"/>
        <w:rPr>
          <w:rFonts w:hint="eastAsia" w:cs="Arial" w:asciiTheme="minorEastAsia" w:hAnsiTheme="minorEastAsia"/>
          <w:bCs/>
          <w:sz w:val="24"/>
          <w:szCs w:val="24"/>
        </w:rPr>
      </w:pPr>
      <w:r>
        <w:rPr>
          <w:rFonts w:hint="eastAsia" w:cs="Arial" w:asciiTheme="minorEastAsia" w:hAnsiTheme="minorEastAsia"/>
          <w:bCs/>
          <w:sz w:val="24"/>
          <w:szCs w:val="24"/>
        </w:rPr>
        <w:t>本功能依据国家医保对于医保药品的报销要求，检查医生开具的药品是否符合报销限定。</w:t>
      </w:r>
    </w:p>
    <w:p w14:paraId="2A929484">
      <w:pPr>
        <w:pStyle w:val="71"/>
        <w:numPr>
          <w:ilvl w:val="1"/>
          <w:numId w:val="27"/>
        </w:numPr>
        <w:spacing w:before="0" w:after="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监测指标审查</w:t>
      </w:r>
    </w:p>
    <w:p w14:paraId="54585A67">
      <w:pPr>
        <w:spacing w:line="360" w:lineRule="auto"/>
        <w:ind w:right="88" w:rightChars="42" w:firstLine="480" w:firstLineChars="200"/>
        <w:rPr>
          <w:rFonts w:hint="eastAsia" w:cs="Arial" w:asciiTheme="minorEastAsia" w:hAnsiTheme="minorEastAsia"/>
          <w:b/>
          <w:bCs/>
          <w:sz w:val="24"/>
          <w:szCs w:val="24"/>
        </w:rPr>
      </w:pPr>
      <w:r>
        <w:rPr>
          <w:rFonts w:hint="eastAsia" w:cs="Arial" w:asciiTheme="minorEastAsia" w:hAnsiTheme="minorEastAsia"/>
          <w:bCs/>
          <w:sz w:val="24"/>
          <w:szCs w:val="24"/>
        </w:rPr>
        <w:t>本功能提示医嘱药品在使用时应做相关检查，如果住院病人在使用这些药品期间未按要求监测这些指标，系统会警示提醒医生。</w:t>
      </w:r>
    </w:p>
    <w:p w14:paraId="5C910213">
      <w:pPr>
        <w:pStyle w:val="71"/>
        <w:numPr>
          <w:ilvl w:val="1"/>
          <w:numId w:val="27"/>
        </w:numPr>
        <w:spacing w:before="0" w:after="0"/>
        <w:rPr>
          <w:rFonts w:hint="eastAsia" w:asciiTheme="minorEastAsia" w:hAnsiTheme="minorEastAsia" w:eastAsiaTheme="minorEastAsia"/>
          <w:color w:val="auto"/>
          <w:sz w:val="24"/>
          <w:szCs w:val="24"/>
        </w:rPr>
      </w:pPr>
      <w:r>
        <w:rPr>
          <w:rFonts w:asciiTheme="minorEastAsia" w:hAnsiTheme="minorEastAsia" w:eastAsiaTheme="minorEastAsia"/>
          <w:color w:val="auto"/>
          <w:sz w:val="24"/>
          <w:szCs w:val="24"/>
        </w:rPr>
        <w:t>越权用药审查</w:t>
      </w:r>
    </w:p>
    <w:p w14:paraId="420978E1">
      <w:pPr>
        <w:spacing w:line="360" w:lineRule="auto"/>
        <w:ind w:right="88" w:rightChars="42" w:firstLine="424" w:firstLineChars="177"/>
        <w:rPr>
          <w:rFonts w:hint="eastAsia" w:cs="Arial" w:asciiTheme="minorEastAsia" w:hAnsiTheme="minorEastAsia"/>
          <w:bCs/>
          <w:sz w:val="24"/>
          <w:szCs w:val="24"/>
        </w:rPr>
      </w:pPr>
      <w:r>
        <w:rPr>
          <w:rFonts w:cs="Arial" w:asciiTheme="minorEastAsia" w:hAnsiTheme="minorEastAsia"/>
          <w:bCs/>
          <w:sz w:val="24"/>
          <w:szCs w:val="24"/>
        </w:rPr>
        <w:t>本功能是根据医院规定的医生</w:t>
      </w:r>
      <w:r>
        <w:rPr>
          <w:rFonts w:hint="eastAsia" w:cs="Arial" w:asciiTheme="minorEastAsia" w:hAnsiTheme="minorEastAsia"/>
          <w:bCs/>
          <w:sz w:val="24"/>
          <w:szCs w:val="24"/>
        </w:rPr>
        <w:t>、</w:t>
      </w:r>
      <w:r>
        <w:rPr>
          <w:rFonts w:cs="Arial" w:asciiTheme="minorEastAsia" w:hAnsiTheme="minorEastAsia"/>
          <w:bCs/>
          <w:sz w:val="24"/>
          <w:szCs w:val="24"/>
        </w:rPr>
        <w:t>药品使用关系，提示医生开出的处方药品是否在其可以使用的权限范围内，如监控医生越级使用抗菌药物、越级使用特殊管制药品等。</w:t>
      </w:r>
    </w:p>
    <w:p w14:paraId="006F31C0">
      <w:pPr>
        <w:pStyle w:val="71"/>
        <w:numPr>
          <w:ilvl w:val="1"/>
          <w:numId w:val="27"/>
        </w:numPr>
        <w:spacing w:before="0" w:after="0"/>
        <w:rPr>
          <w:rFonts w:hint="eastAsia" w:asciiTheme="minorEastAsia" w:hAnsiTheme="minorEastAsia" w:eastAsiaTheme="minorEastAsia"/>
          <w:color w:val="auto"/>
          <w:sz w:val="24"/>
          <w:szCs w:val="24"/>
        </w:rPr>
      </w:pPr>
      <w:r>
        <w:rPr>
          <w:rFonts w:asciiTheme="minorEastAsia" w:hAnsiTheme="minorEastAsia" w:eastAsiaTheme="minorEastAsia"/>
          <w:color w:val="auto"/>
          <w:sz w:val="24"/>
          <w:szCs w:val="24"/>
        </w:rPr>
        <w:t>围术期用药审查</w:t>
      </w:r>
    </w:p>
    <w:p w14:paraId="44D43657">
      <w:pPr>
        <w:spacing w:line="360" w:lineRule="auto"/>
        <w:ind w:right="88" w:rightChars="42" w:firstLine="480" w:firstLineChars="200"/>
        <w:rPr>
          <w:rFonts w:hint="eastAsia" w:cs="Arial" w:asciiTheme="minorEastAsia" w:hAnsiTheme="minorEastAsia"/>
          <w:bCs/>
          <w:sz w:val="24"/>
          <w:szCs w:val="24"/>
        </w:rPr>
      </w:pPr>
      <w:bookmarkStart w:id="38" w:name="_Hlk95491233"/>
      <w:r>
        <w:rPr>
          <w:rFonts w:cs="Arial" w:asciiTheme="minorEastAsia" w:hAnsiTheme="minorEastAsia"/>
          <w:bCs/>
          <w:sz w:val="24"/>
          <w:szCs w:val="24"/>
        </w:rPr>
        <w:t>本功能可以提示在围手术期内使用抗菌药物的品种是否合理，使用抗菌药物的时机和时限是否合理，在围手术期若使用抗菌药物的品种不在已维护的手术能够使用的抗菌药物的品种范围内、手术使用抗菌药物时长不在医院规定的时间内(可以精确到小时)，则系统发出警告提醒医生可能需要调整病人围手术期的用药方案。</w:t>
      </w:r>
    </w:p>
    <w:bookmarkEnd w:id="38"/>
    <w:p w14:paraId="1C358C2A">
      <w:pPr>
        <w:pStyle w:val="71"/>
        <w:numPr>
          <w:ilvl w:val="1"/>
          <w:numId w:val="27"/>
        </w:numPr>
        <w:spacing w:before="0" w:after="0"/>
        <w:rPr>
          <w:rFonts w:hint="eastAsia" w:asciiTheme="minorEastAsia" w:hAnsiTheme="minorEastAsia" w:eastAsiaTheme="minorEastAsia"/>
          <w:color w:val="auto"/>
          <w:sz w:val="24"/>
          <w:szCs w:val="24"/>
        </w:rPr>
      </w:pPr>
      <w:r>
        <w:rPr>
          <w:rFonts w:asciiTheme="minorEastAsia" w:hAnsiTheme="minorEastAsia" w:eastAsiaTheme="minorEastAsia"/>
          <w:color w:val="auto"/>
          <w:sz w:val="24"/>
          <w:szCs w:val="24"/>
        </w:rPr>
        <w:t>细菌耐药率审查</w:t>
      </w:r>
    </w:p>
    <w:p w14:paraId="65583159">
      <w:pPr>
        <w:spacing w:line="360" w:lineRule="auto"/>
        <w:ind w:right="88" w:rightChars="42" w:firstLine="480" w:firstLineChars="200"/>
        <w:rPr>
          <w:rFonts w:hint="eastAsia" w:cs="Arial" w:asciiTheme="minorEastAsia" w:hAnsiTheme="minorEastAsia"/>
          <w:bCs/>
          <w:sz w:val="24"/>
          <w:szCs w:val="24"/>
        </w:rPr>
      </w:pPr>
      <w:r>
        <w:rPr>
          <w:rFonts w:cs="Arial" w:asciiTheme="minorEastAsia" w:hAnsiTheme="minorEastAsia"/>
          <w:bCs/>
          <w:sz w:val="24"/>
          <w:szCs w:val="24"/>
        </w:rPr>
        <w:t>细菌耐药率模块审查能够提醒医生处方药品的本院耐药情况(包括哪些细菌对处方药品耐药和耐药率)，医生根据耐药可能需要调整用药方案。</w:t>
      </w:r>
    </w:p>
    <w:p w14:paraId="65834BF5">
      <w:pPr>
        <w:pStyle w:val="92"/>
        <w:numPr>
          <w:ilvl w:val="0"/>
          <w:numId w:val="27"/>
        </w:numPr>
        <w:tabs>
          <w:tab w:val="left" w:pos="854"/>
        </w:tabs>
        <w:spacing w:line="360" w:lineRule="auto"/>
        <w:ind w:left="454" w:hanging="20" w:firstLineChars="0"/>
        <w:rPr>
          <w:rFonts w:hint="eastAsia" w:asciiTheme="minorEastAsia" w:hAnsiTheme="minorEastAsia" w:eastAsiaTheme="minorEastAsia"/>
          <w:b/>
          <w:sz w:val="24"/>
        </w:rPr>
      </w:pPr>
      <w:bookmarkStart w:id="39" w:name="_Toc443387397"/>
      <w:bookmarkStart w:id="40" w:name="_Toc423097794"/>
      <w:r>
        <w:rPr>
          <w:rFonts w:hint="eastAsia" w:asciiTheme="minorEastAsia" w:hAnsiTheme="minorEastAsia" w:eastAsiaTheme="minorEastAsia"/>
          <w:b/>
          <w:sz w:val="24"/>
        </w:rPr>
        <w:t>药品专项管控功能</w:t>
      </w:r>
    </w:p>
    <w:p w14:paraId="7905E917">
      <w:pPr>
        <w:spacing w:line="360" w:lineRule="auto"/>
        <w:ind w:right="88" w:rightChars="42" w:firstLine="480" w:firstLineChars="200"/>
        <w:rPr>
          <w:rFonts w:hint="eastAsia" w:cs="Arial" w:asciiTheme="minorEastAsia" w:hAnsiTheme="minorEastAsia"/>
          <w:bCs/>
          <w:sz w:val="24"/>
          <w:szCs w:val="24"/>
        </w:rPr>
      </w:pPr>
      <w:r>
        <w:rPr>
          <w:rFonts w:hint="eastAsia" w:cs="Arial" w:asciiTheme="minorEastAsia" w:hAnsiTheme="minorEastAsia"/>
          <w:bCs/>
          <w:sz w:val="24"/>
          <w:szCs w:val="24"/>
        </w:rPr>
        <w:t>系统</w:t>
      </w:r>
      <w:r>
        <w:rPr>
          <w:rFonts w:cs="Arial" w:asciiTheme="minorEastAsia" w:hAnsiTheme="minorEastAsia"/>
          <w:bCs/>
          <w:sz w:val="24"/>
          <w:szCs w:val="24"/>
        </w:rPr>
        <w:t>提供以下</w:t>
      </w:r>
      <w:r>
        <w:rPr>
          <w:rFonts w:hint="eastAsia" w:cs="Arial" w:asciiTheme="minorEastAsia" w:hAnsiTheme="minorEastAsia"/>
          <w:bCs/>
          <w:sz w:val="24"/>
          <w:szCs w:val="24"/>
        </w:rPr>
        <w:t>药品专项管控</w:t>
      </w:r>
      <w:r>
        <w:rPr>
          <w:rFonts w:cs="Arial" w:asciiTheme="minorEastAsia" w:hAnsiTheme="minorEastAsia"/>
          <w:bCs/>
          <w:sz w:val="24"/>
          <w:szCs w:val="24"/>
        </w:rPr>
        <w:t>功能：</w:t>
      </w:r>
    </w:p>
    <w:p w14:paraId="72CC178E">
      <w:pPr>
        <w:pStyle w:val="71"/>
        <w:numPr>
          <w:ilvl w:val="1"/>
          <w:numId w:val="27"/>
        </w:numPr>
        <w:spacing w:before="0" w:after="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质子泵抑制药（P</w:t>
      </w:r>
      <w:r>
        <w:rPr>
          <w:rFonts w:asciiTheme="minorEastAsia" w:hAnsiTheme="minorEastAsia" w:eastAsiaTheme="minorEastAsia"/>
          <w:sz w:val="24"/>
          <w:szCs w:val="24"/>
        </w:rPr>
        <w:t>PI</w:t>
      </w:r>
      <w:r>
        <w:rPr>
          <w:rFonts w:hint="eastAsia" w:asciiTheme="minorEastAsia" w:hAnsiTheme="minorEastAsia" w:eastAsiaTheme="minorEastAsia"/>
          <w:sz w:val="24"/>
          <w:szCs w:val="24"/>
        </w:rPr>
        <w:t>）专项管控</w:t>
      </w:r>
    </w:p>
    <w:p w14:paraId="1AB09AB3">
      <w:pPr>
        <w:pStyle w:val="72"/>
        <w:numPr>
          <w:ilvl w:val="2"/>
          <w:numId w:val="27"/>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P</w:t>
      </w:r>
      <w:r>
        <w:rPr>
          <w:rFonts w:asciiTheme="minorEastAsia" w:hAnsiTheme="minorEastAsia" w:eastAsiaTheme="minorEastAsia"/>
          <w:sz w:val="24"/>
          <w:szCs w:val="24"/>
        </w:rPr>
        <w:t>PI</w:t>
      </w:r>
      <w:r>
        <w:rPr>
          <w:rFonts w:hint="eastAsia" w:asciiTheme="minorEastAsia" w:hAnsiTheme="minorEastAsia" w:eastAsiaTheme="minorEastAsia"/>
          <w:sz w:val="24"/>
          <w:szCs w:val="24"/>
        </w:rPr>
        <w:t>用药评估单</w:t>
      </w:r>
    </w:p>
    <w:p w14:paraId="042B7F1A">
      <w:pPr>
        <w:spacing w:line="360" w:lineRule="auto"/>
        <w:ind w:right="88" w:rightChars="42" w:firstLine="480" w:firstLineChars="200"/>
        <w:rPr>
          <w:rFonts w:hint="eastAsia" w:cs="Arial" w:asciiTheme="minorEastAsia" w:hAnsiTheme="minorEastAsia"/>
          <w:bCs/>
          <w:sz w:val="24"/>
          <w:szCs w:val="24"/>
        </w:rPr>
      </w:pPr>
      <w:r>
        <w:rPr>
          <w:rFonts w:hint="eastAsia" w:cs="Arial" w:asciiTheme="minorEastAsia" w:hAnsiTheme="minorEastAsia"/>
          <w:bCs/>
          <w:sz w:val="24"/>
          <w:szCs w:val="24"/>
        </w:rPr>
        <w:t>当用药评估单填写功能开启后，医生开具PPI药品时，系统将要求医生填写用药目的、静脉用药指征。 系统能提供质子泵抑制剂用药评估单统计分析，支持统计报表（EXCEL格式）的导出功能。</w:t>
      </w:r>
    </w:p>
    <w:p w14:paraId="13B7B328">
      <w:pPr>
        <w:pStyle w:val="72"/>
        <w:numPr>
          <w:ilvl w:val="2"/>
          <w:numId w:val="27"/>
        </w:numPr>
        <w:spacing w:before="0" w:after="0" w:line="360" w:lineRule="auto"/>
        <w:rPr>
          <w:rFonts w:hint="eastAsia" w:asciiTheme="minorEastAsia" w:hAnsiTheme="minorEastAsia" w:eastAsiaTheme="minorEastAsia"/>
          <w:sz w:val="24"/>
          <w:szCs w:val="24"/>
        </w:rPr>
      </w:pPr>
      <w:r>
        <w:rPr>
          <w:rFonts w:asciiTheme="minorEastAsia" w:hAnsiTheme="minorEastAsia" w:eastAsiaTheme="minorEastAsia"/>
          <w:sz w:val="24"/>
          <w:szCs w:val="24"/>
        </w:rPr>
        <w:t>应激性溃疡风险预警</w:t>
      </w:r>
    </w:p>
    <w:p w14:paraId="0960CD8A">
      <w:pPr>
        <w:spacing w:line="360" w:lineRule="auto"/>
        <w:ind w:right="88" w:rightChars="42" w:firstLine="480" w:firstLineChars="200"/>
        <w:rPr>
          <w:rFonts w:hint="eastAsia" w:cs="Arial" w:asciiTheme="minorEastAsia" w:hAnsiTheme="minorEastAsia"/>
          <w:b/>
          <w:bCs/>
          <w:sz w:val="24"/>
          <w:szCs w:val="24"/>
        </w:rPr>
      </w:pPr>
      <w:r>
        <w:rPr>
          <w:rFonts w:hint="eastAsia" w:cs="Arial" w:asciiTheme="minorEastAsia" w:hAnsiTheme="minorEastAsia"/>
          <w:bCs/>
          <w:sz w:val="24"/>
          <w:szCs w:val="24"/>
        </w:rPr>
        <w:t>系统可结合患者病生状态、联用药品等因素，评估患者是否具有应激性溃疡风险。若存在风险而医生未开具预防用PPI药品，系统将予以警示。</w:t>
      </w:r>
    </w:p>
    <w:p w14:paraId="61B9EFF6">
      <w:pPr>
        <w:pStyle w:val="72"/>
        <w:numPr>
          <w:ilvl w:val="2"/>
          <w:numId w:val="27"/>
        </w:numPr>
        <w:spacing w:before="0" w:after="0" w:line="360" w:lineRule="auto"/>
        <w:rPr>
          <w:rFonts w:hint="eastAsia" w:asciiTheme="minorEastAsia" w:hAnsiTheme="minorEastAsia" w:eastAsiaTheme="minorEastAsia"/>
          <w:sz w:val="24"/>
          <w:szCs w:val="24"/>
        </w:rPr>
      </w:pPr>
      <w:r>
        <w:rPr>
          <w:rFonts w:asciiTheme="minorEastAsia" w:hAnsiTheme="minorEastAsia" w:eastAsiaTheme="minorEastAsia"/>
          <w:sz w:val="24"/>
          <w:szCs w:val="24"/>
        </w:rPr>
        <w:t>围术期预防使用</w:t>
      </w:r>
      <w:r>
        <w:rPr>
          <w:rFonts w:hint="eastAsia" w:asciiTheme="minorEastAsia" w:hAnsiTheme="minorEastAsia" w:eastAsiaTheme="minorEastAsia"/>
          <w:sz w:val="24"/>
          <w:szCs w:val="24"/>
        </w:rPr>
        <w:t>PPI药品审查</w:t>
      </w:r>
    </w:p>
    <w:p w14:paraId="35379F7D">
      <w:pPr>
        <w:spacing w:line="360" w:lineRule="auto"/>
        <w:ind w:right="88" w:rightChars="42" w:firstLine="480" w:firstLineChars="200"/>
        <w:rPr>
          <w:rFonts w:hint="eastAsia" w:cs="Arial" w:asciiTheme="minorEastAsia" w:hAnsiTheme="minorEastAsia"/>
          <w:bCs/>
          <w:sz w:val="24"/>
          <w:szCs w:val="24"/>
        </w:rPr>
      </w:pPr>
      <w:bookmarkStart w:id="41" w:name="_Hlk126679613"/>
      <w:r>
        <w:rPr>
          <w:rFonts w:hint="eastAsia" w:cs="Arial" w:asciiTheme="minorEastAsia" w:hAnsiTheme="minorEastAsia"/>
          <w:bCs/>
          <w:sz w:val="24"/>
          <w:szCs w:val="24"/>
        </w:rPr>
        <w:t>本功能可以提示围手术期内预防使用PPI药品是否合理，预防使用的PPI药品品种、疗程是否合理。若医生在患者无预防使用PPI药品指征时用药，或PPI药品品种不在已维护的围手术期可预防使用的PPI药品品种范围内，或手术后预防使用PPI药品时长不在医院规定的时间内，系统将警示医生可能需要调整病人围手术期的PPI用药方案。</w:t>
      </w:r>
      <w:bookmarkEnd w:id="41"/>
    </w:p>
    <w:p w14:paraId="31EE4033">
      <w:pPr>
        <w:pStyle w:val="71"/>
        <w:numPr>
          <w:ilvl w:val="1"/>
          <w:numId w:val="27"/>
        </w:numPr>
        <w:spacing w:before="0" w:after="0"/>
        <w:rPr>
          <w:rFonts w:hint="eastAsia" w:cs="Arial" w:asciiTheme="minorEastAsia" w:hAnsiTheme="minorEastAsia" w:eastAsiaTheme="minorEastAsia"/>
          <w:bCs/>
          <w:sz w:val="24"/>
          <w:szCs w:val="24"/>
        </w:rPr>
      </w:pPr>
      <w:r>
        <w:rPr>
          <w:rFonts w:hint="eastAsia" w:cs="Arial" w:asciiTheme="minorEastAsia" w:hAnsiTheme="minorEastAsia" w:eastAsiaTheme="minorEastAsia"/>
          <w:bCs/>
          <w:sz w:val="24"/>
          <w:szCs w:val="24"/>
        </w:rPr>
        <w:t>抗菌药物专项管控</w:t>
      </w:r>
    </w:p>
    <w:p w14:paraId="1C21AA70">
      <w:pPr>
        <w:pStyle w:val="72"/>
        <w:numPr>
          <w:ilvl w:val="2"/>
          <w:numId w:val="27"/>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抗菌药物用药评估单</w:t>
      </w:r>
    </w:p>
    <w:p w14:paraId="52945038">
      <w:pPr>
        <w:spacing w:line="360" w:lineRule="auto"/>
        <w:ind w:right="88" w:rightChars="42" w:firstLine="480" w:firstLineChars="200"/>
        <w:rPr>
          <w:rFonts w:hint="eastAsia" w:cs="Arial" w:asciiTheme="minorEastAsia" w:hAnsiTheme="minorEastAsia"/>
          <w:bCs/>
          <w:sz w:val="24"/>
          <w:szCs w:val="24"/>
        </w:rPr>
      </w:pPr>
      <w:r>
        <w:rPr>
          <w:rFonts w:hint="eastAsia" w:cs="Arial" w:asciiTheme="minorEastAsia" w:hAnsiTheme="minorEastAsia"/>
          <w:bCs/>
          <w:sz w:val="24"/>
          <w:szCs w:val="24"/>
        </w:rPr>
        <w:t>当抗菌药物用药评估单功能开启后，医生开具抗菌药物用作I类切口手术/非手术预防目的，或使用注射剂型抗菌药物时，系统将要求医生填写用药评估单。系统提供抗菌药物手术预防用药评估单、抗菌药物非手术预防用药评估单、抗菌药物静脉用药评估单。系统能提供抗菌药物用药评估单统计分析，支持统计报表（EXCEL格式）的导出功能。</w:t>
      </w:r>
    </w:p>
    <w:p w14:paraId="1ED663C4">
      <w:pPr>
        <w:pStyle w:val="72"/>
        <w:numPr>
          <w:ilvl w:val="2"/>
          <w:numId w:val="27"/>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抗菌药物用药指征</w:t>
      </w:r>
    </w:p>
    <w:p w14:paraId="21BE0D81">
      <w:pPr>
        <w:spacing w:line="360" w:lineRule="auto"/>
        <w:ind w:right="88" w:rightChars="42" w:firstLine="480" w:firstLineChars="200"/>
        <w:rPr>
          <w:rFonts w:hint="eastAsia" w:cs="Arial" w:asciiTheme="minorEastAsia" w:hAnsiTheme="minorEastAsia"/>
          <w:bCs/>
          <w:sz w:val="24"/>
          <w:szCs w:val="24"/>
        </w:rPr>
      </w:pPr>
      <w:r>
        <w:rPr>
          <w:rFonts w:hint="eastAsia" w:cs="Arial" w:asciiTheme="minorEastAsia" w:hAnsiTheme="minorEastAsia"/>
          <w:bCs/>
          <w:sz w:val="24"/>
          <w:szCs w:val="24"/>
        </w:rPr>
        <w:t>根据《抗菌药物临床应用指导原则》要求，系统可在医生开具抗菌药物时审查是否有对应的抗菌药物用药指征。</w:t>
      </w:r>
    </w:p>
    <w:p w14:paraId="1318C34A">
      <w:pPr>
        <w:pStyle w:val="72"/>
        <w:numPr>
          <w:ilvl w:val="2"/>
          <w:numId w:val="27"/>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特殊级抗菌药物会诊审查</w:t>
      </w:r>
    </w:p>
    <w:p w14:paraId="3808B4EA">
      <w:pPr>
        <w:spacing w:line="360" w:lineRule="auto"/>
        <w:ind w:right="88" w:rightChars="42" w:firstLine="480" w:firstLineChars="200"/>
        <w:rPr>
          <w:rFonts w:hint="eastAsia" w:cs="Arial" w:asciiTheme="minorEastAsia" w:hAnsiTheme="minorEastAsia"/>
          <w:bCs/>
          <w:sz w:val="24"/>
          <w:szCs w:val="24"/>
        </w:rPr>
      </w:pPr>
      <w:r>
        <w:rPr>
          <w:rFonts w:hint="eastAsia" w:cs="Arial" w:asciiTheme="minorEastAsia" w:hAnsiTheme="minorEastAsia"/>
          <w:bCs/>
          <w:sz w:val="24"/>
          <w:szCs w:val="24"/>
        </w:rPr>
        <w:t>根据《抗菌药物临床应用指导原则》要求，系统可审查医生开具特殊级抗菌药物是否有对应的会诊单。</w:t>
      </w:r>
    </w:p>
    <w:p w14:paraId="41115657">
      <w:pPr>
        <w:pStyle w:val="71"/>
        <w:numPr>
          <w:ilvl w:val="1"/>
          <w:numId w:val="27"/>
        </w:numPr>
        <w:spacing w:before="0" w:after="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中药协定方专项管控</w:t>
      </w:r>
    </w:p>
    <w:p w14:paraId="512A1F92">
      <w:pPr>
        <w:spacing w:line="360" w:lineRule="auto"/>
        <w:ind w:right="88" w:rightChars="42" w:firstLine="480" w:firstLineChars="200"/>
        <w:rPr>
          <w:rFonts w:hint="eastAsia" w:cs="Arial" w:asciiTheme="minorEastAsia" w:hAnsiTheme="minorEastAsia"/>
          <w:bCs/>
          <w:sz w:val="24"/>
          <w:szCs w:val="24"/>
        </w:rPr>
      </w:pPr>
      <w:r>
        <w:rPr>
          <w:rFonts w:hint="eastAsia" w:cs="Arial" w:asciiTheme="minorEastAsia" w:hAnsiTheme="minorEastAsia"/>
          <w:bCs/>
          <w:sz w:val="24"/>
          <w:szCs w:val="24"/>
        </w:rPr>
        <w:t>本功能是根据医院规定的中药协定方组成及主治，提示医生开具中药协定方时，是否辩证用药。</w:t>
      </w:r>
    </w:p>
    <w:p w14:paraId="580A0751">
      <w:pPr>
        <w:pStyle w:val="71"/>
        <w:numPr>
          <w:ilvl w:val="1"/>
          <w:numId w:val="27"/>
        </w:numPr>
        <w:spacing w:before="0" w:after="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经验性用药专项管控</w:t>
      </w:r>
    </w:p>
    <w:p w14:paraId="13C7A21E">
      <w:pPr>
        <w:spacing w:line="360" w:lineRule="auto"/>
        <w:ind w:right="88" w:rightChars="42" w:firstLine="480" w:firstLineChars="200"/>
        <w:rPr>
          <w:rFonts w:hint="eastAsia" w:cs="Arial" w:asciiTheme="minorEastAsia" w:hAnsiTheme="minorEastAsia"/>
          <w:bCs/>
          <w:sz w:val="24"/>
          <w:szCs w:val="24"/>
        </w:rPr>
      </w:pPr>
      <w:r>
        <w:rPr>
          <w:rFonts w:hint="eastAsia" w:cs="Arial" w:asciiTheme="minorEastAsia" w:hAnsiTheme="minorEastAsia"/>
          <w:bCs/>
          <w:sz w:val="24"/>
          <w:szCs w:val="24"/>
        </w:rPr>
        <w:t>本功能可以提示抗肿瘤药物过敏反应预处理药品品种选择是否适宜。若医生开具紫杉醇、紫杉醇脂质体、多西他赛时，未选择过敏反应预处理药品或选择的药品品种不在已维护品种范围内，系统将警示医生。</w:t>
      </w:r>
    </w:p>
    <w:p w14:paraId="6CA31DC1">
      <w:pPr>
        <w:numPr>
          <w:ilvl w:val="0"/>
          <w:numId w:val="27"/>
        </w:numPr>
        <w:tabs>
          <w:tab w:val="left" w:pos="854"/>
        </w:tabs>
        <w:spacing w:line="360" w:lineRule="auto"/>
        <w:ind w:left="454" w:hanging="20"/>
        <w:rPr>
          <w:rFonts w:hint="eastAsia" w:cs="Times New Roman" w:asciiTheme="minorEastAsia" w:hAnsiTheme="minorEastAsia"/>
          <w:b/>
          <w:sz w:val="24"/>
          <w:szCs w:val="24"/>
        </w:rPr>
      </w:pPr>
      <w:r>
        <w:rPr>
          <w:rFonts w:cs="Times New Roman" w:asciiTheme="minorEastAsia" w:hAnsiTheme="minorEastAsia"/>
          <w:b/>
          <w:sz w:val="24"/>
          <w:szCs w:val="24"/>
        </w:rPr>
        <w:t>医药信息在线查询功能</w:t>
      </w:r>
      <w:bookmarkEnd w:id="39"/>
      <w:bookmarkEnd w:id="40"/>
    </w:p>
    <w:p w14:paraId="48B9728B">
      <w:pPr>
        <w:pStyle w:val="71"/>
        <w:numPr>
          <w:ilvl w:val="1"/>
          <w:numId w:val="27"/>
        </w:numPr>
        <w:spacing w:before="0" w:after="0"/>
        <w:rPr>
          <w:rFonts w:hint="eastAsia" w:asciiTheme="minorEastAsia" w:hAnsiTheme="minorEastAsia" w:eastAsiaTheme="minorEastAsia"/>
          <w:sz w:val="24"/>
          <w:szCs w:val="24"/>
        </w:rPr>
      </w:pPr>
      <w:r>
        <w:rPr>
          <w:rFonts w:asciiTheme="minorEastAsia" w:hAnsiTheme="minorEastAsia" w:eastAsiaTheme="minorEastAsia"/>
          <w:sz w:val="24"/>
          <w:szCs w:val="24"/>
        </w:rPr>
        <w:t>重要提示</w:t>
      </w:r>
    </w:p>
    <w:p w14:paraId="0D6C1B09">
      <w:pPr>
        <w:spacing w:line="360" w:lineRule="auto"/>
        <w:ind w:right="88" w:rightChars="42" w:firstLine="470" w:firstLineChars="196"/>
        <w:rPr>
          <w:rFonts w:hint="eastAsia" w:cs="Arial" w:asciiTheme="minorEastAsia" w:hAnsiTheme="minorEastAsia"/>
          <w:sz w:val="24"/>
          <w:szCs w:val="24"/>
        </w:rPr>
      </w:pPr>
      <w:r>
        <w:rPr>
          <w:rFonts w:cs="Arial" w:asciiTheme="minorEastAsia" w:hAnsiTheme="minorEastAsia"/>
          <w:sz w:val="24"/>
          <w:szCs w:val="24"/>
        </w:rPr>
        <w:t>录入每条医嘱药品时，</w:t>
      </w:r>
      <w:r>
        <w:rPr>
          <w:rFonts w:hint="eastAsia" w:cs="Arial" w:asciiTheme="minorEastAsia" w:hAnsiTheme="minorEastAsia"/>
          <w:sz w:val="24"/>
          <w:szCs w:val="24"/>
        </w:rPr>
        <w:t>系统</w:t>
      </w:r>
      <w:r>
        <w:rPr>
          <w:rFonts w:cs="Arial" w:asciiTheme="minorEastAsia" w:hAnsiTheme="minorEastAsia"/>
          <w:sz w:val="24"/>
          <w:szCs w:val="24"/>
        </w:rPr>
        <w:t>会自动弹出重要提示浮动窗口，在不干扰用户日常工作的情况下将药物临床使用重要的安全性信息通过简明扼要的浮动窗口形式及时地呈现给用户，以供临床用药参考。</w:t>
      </w:r>
    </w:p>
    <w:p w14:paraId="0755E843">
      <w:pPr>
        <w:spacing w:line="360" w:lineRule="auto"/>
        <w:ind w:right="88" w:rightChars="42" w:firstLine="470" w:firstLineChars="196"/>
        <w:rPr>
          <w:rFonts w:hint="eastAsia" w:cs="Arial" w:asciiTheme="minorEastAsia" w:hAnsiTheme="minorEastAsia"/>
          <w:sz w:val="24"/>
          <w:szCs w:val="24"/>
        </w:rPr>
      </w:pPr>
      <w:r>
        <w:rPr>
          <w:rFonts w:cs="Arial" w:asciiTheme="minorEastAsia" w:hAnsiTheme="minorEastAsia"/>
          <w:sz w:val="24"/>
          <w:szCs w:val="24"/>
        </w:rPr>
        <w:t>重要提示信息包括“药品重要信息”、“医院药品重要信息”和“药品属性信息”三部分，如药物禁忌症、妊娠、哺乳用药、毒/麻/精、兴奋剂、OTC标记、特别警示等。其中“医院药品重要信息”和“药品属性信息”均可由用户根据医院实际情况对显示内容进行自定义维护，以便及时提示医生医院药品信息的相关内容。</w:t>
      </w:r>
    </w:p>
    <w:p w14:paraId="05BC0A77">
      <w:pPr>
        <w:pStyle w:val="71"/>
        <w:numPr>
          <w:ilvl w:val="1"/>
          <w:numId w:val="27"/>
        </w:numPr>
        <w:spacing w:before="0" w:after="0"/>
        <w:rPr>
          <w:rFonts w:hint="eastAsia" w:asciiTheme="minorEastAsia" w:hAnsiTheme="minorEastAsia" w:eastAsiaTheme="minorEastAsia"/>
          <w:sz w:val="24"/>
          <w:szCs w:val="24"/>
        </w:rPr>
      </w:pPr>
      <w:r>
        <w:rPr>
          <w:rFonts w:asciiTheme="minorEastAsia" w:hAnsiTheme="minorEastAsia" w:eastAsiaTheme="minorEastAsia"/>
          <w:sz w:val="24"/>
          <w:szCs w:val="24"/>
        </w:rPr>
        <w:t>药品说明书</w:t>
      </w:r>
    </w:p>
    <w:p w14:paraId="19EA2C95">
      <w:pPr>
        <w:spacing w:line="360" w:lineRule="auto"/>
        <w:ind w:right="88" w:rightChars="42" w:firstLine="480" w:firstLineChars="200"/>
        <w:rPr>
          <w:rFonts w:hint="eastAsia" w:cs="Arial" w:asciiTheme="minorEastAsia" w:hAnsiTheme="minorEastAsia"/>
          <w:bCs/>
          <w:sz w:val="24"/>
          <w:szCs w:val="24"/>
        </w:rPr>
      </w:pPr>
      <w:r>
        <w:rPr>
          <w:rFonts w:hint="eastAsia" w:cs="Arial" w:asciiTheme="minorEastAsia" w:hAnsiTheme="minorEastAsia"/>
          <w:bCs/>
          <w:sz w:val="24"/>
          <w:szCs w:val="24"/>
        </w:rPr>
        <w:t>系统</w:t>
      </w:r>
      <w:r>
        <w:rPr>
          <w:rFonts w:cs="Arial" w:asciiTheme="minorEastAsia" w:hAnsiTheme="minorEastAsia"/>
          <w:bCs/>
          <w:sz w:val="24"/>
          <w:szCs w:val="24"/>
        </w:rPr>
        <w:t>药品说明书提供国家药品监督管理局（</w:t>
      </w:r>
      <w:r>
        <w:rPr>
          <w:rFonts w:hint="eastAsia" w:cs="Arial" w:asciiTheme="minorEastAsia" w:hAnsiTheme="minorEastAsia"/>
          <w:bCs/>
          <w:sz w:val="24"/>
          <w:szCs w:val="24"/>
        </w:rPr>
        <w:t>NMPA</w:t>
      </w:r>
      <w:r>
        <w:rPr>
          <w:rFonts w:cs="Arial" w:asciiTheme="minorEastAsia" w:hAnsiTheme="minorEastAsia"/>
          <w:bCs/>
          <w:sz w:val="24"/>
          <w:szCs w:val="24"/>
        </w:rPr>
        <w:t>）审核发布的国家药品标准说明书，可快速查看在用厂家药品说明书。</w:t>
      </w:r>
    </w:p>
    <w:p w14:paraId="47BD1031">
      <w:pPr>
        <w:spacing w:line="360" w:lineRule="auto"/>
        <w:ind w:right="88" w:rightChars="42" w:firstLine="480" w:firstLineChars="200"/>
        <w:rPr>
          <w:rFonts w:hint="eastAsia" w:cs="Arial" w:asciiTheme="minorEastAsia" w:hAnsiTheme="minorEastAsia"/>
          <w:bCs/>
          <w:sz w:val="24"/>
          <w:szCs w:val="24"/>
        </w:rPr>
      </w:pPr>
      <w:r>
        <w:rPr>
          <w:rFonts w:cs="Arial" w:asciiTheme="minorEastAsia" w:hAnsiTheme="minorEastAsia"/>
          <w:bCs/>
          <w:sz w:val="24"/>
          <w:szCs w:val="24"/>
        </w:rPr>
        <w:t>通过说明书自定义维护工具可对药品说明书内容进行修订，以修正因说明书版本差别所致的信息偏差。同时，用户可以在</w:t>
      </w:r>
      <w:r>
        <w:rPr>
          <w:rFonts w:hint="eastAsia" w:cs="Arial" w:asciiTheme="minorEastAsia" w:hAnsiTheme="minorEastAsia"/>
          <w:bCs/>
          <w:sz w:val="24"/>
          <w:szCs w:val="24"/>
        </w:rPr>
        <w:t>系统</w:t>
      </w:r>
      <w:r>
        <w:rPr>
          <w:rFonts w:cs="Arial" w:asciiTheme="minorEastAsia" w:hAnsiTheme="minorEastAsia"/>
          <w:bCs/>
          <w:sz w:val="24"/>
          <w:szCs w:val="24"/>
        </w:rPr>
        <w:t>药品说明书的基础上进行药品说明书自主维护，提高效率。</w:t>
      </w:r>
    </w:p>
    <w:p w14:paraId="3B230D41">
      <w:pPr>
        <w:pStyle w:val="71"/>
        <w:numPr>
          <w:ilvl w:val="1"/>
          <w:numId w:val="27"/>
        </w:numPr>
        <w:spacing w:before="0" w:after="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中药材专论</w:t>
      </w:r>
    </w:p>
    <w:p w14:paraId="4AC04E34">
      <w:pPr>
        <w:spacing w:line="360" w:lineRule="auto"/>
        <w:ind w:right="88" w:rightChars="42" w:firstLine="480" w:firstLineChars="200"/>
        <w:rPr>
          <w:rFonts w:hint="eastAsia" w:cs="Arial" w:asciiTheme="minorEastAsia" w:hAnsiTheme="minorEastAsia"/>
          <w:bCs/>
          <w:sz w:val="24"/>
          <w:szCs w:val="24"/>
        </w:rPr>
      </w:pPr>
      <w:r>
        <w:rPr>
          <w:rFonts w:hint="eastAsia" w:cs="Arial" w:asciiTheme="minorEastAsia" w:hAnsiTheme="minorEastAsia"/>
          <w:sz w:val="24"/>
          <w:szCs w:val="24"/>
        </w:rPr>
        <w:t>中药材专论信息主要来源于中国药典及中医专著，</w:t>
      </w:r>
      <w:r>
        <w:rPr>
          <w:rFonts w:cs="Arial" w:asciiTheme="minorEastAsia" w:hAnsiTheme="minorEastAsia"/>
          <w:sz w:val="24"/>
          <w:szCs w:val="24"/>
        </w:rPr>
        <w:t>录入</w:t>
      </w:r>
      <w:r>
        <w:rPr>
          <w:rFonts w:hint="eastAsia" w:cs="Arial" w:asciiTheme="minorEastAsia" w:hAnsiTheme="minorEastAsia"/>
          <w:sz w:val="24"/>
          <w:szCs w:val="24"/>
        </w:rPr>
        <w:t>中药材</w:t>
      </w:r>
      <w:r>
        <w:rPr>
          <w:rFonts w:cs="Arial" w:asciiTheme="minorEastAsia" w:hAnsiTheme="minorEastAsia"/>
          <w:sz w:val="24"/>
          <w:szCs w:val="24"/>
        </w:rPr>
        <w:t>药品</w:t>
      </w:r>
      <w:r>
        <w:rPr>
          <w:rFonts w:hint="eastAsia" w:cs="Arial" w:asciiTheme="minorEastAsia" w:hAnsiTheme="minorEastAsia"/>
          <w:sz w:val="24"/>
          <w:szCs w:val="24"/>
        </w:rPr>
        <w:t>时</w:t>
      </w:r>
      <w:r>
        <w:rPr>
          <w:rFonts w:hint="eastAsia" w:cs="Arial" w:asciiTheme="minorEastAsia" w:hAnsiTheme="minorEastAsia"/>
          <w:bCs/>
          <w:sz w:val="24"/>
          <w:szCs w:val="24"/>
        </w:rPr>
        <w:t>，可快速查看相应药品的中药材专论信息，包括用法用量、毒性信息、注意事项、临床应用等。</w:t>
      </w:r>
    </w:p>
    <w:p w14:paraId="4E8507B1">
      <w:pPr>
        <w:numPr>
          <w:ilvl w:val="0"/>
          <w:numId w:val="27"/>
        </w:numPr>
        <w:tabs>
          <w:tab w:val="left" w:pos="854"/>
        </w:tabs>
        <w:spacing w:line="360" w:lineRule="auto"/>
        <w:ind w:left="454" w:hanging="20"/>
        <w:rPr>
          <w:rFonts w:hint="eastAsia" w:cs="Times New Roman" w:asciiTheme="minorEastAsia" w:hAnsiTheme="minorEastAsia"/>
          <w:b/>
          <w:sz w:val="24"/>
          <w:szCs w:val="24"/>
        </w:rPr>
      </w:pPr>
      <w:bookmarkStart w:id="42" w:name="_Toc443387398"/>
      <w:bookmarkStart w:id="43" w:name="_Toc423097795"/>
      <w:r>
        <w:rPr>
          <w:rFonts w:cs="Times New Roman" w:asciiTheme="minorEastAsia" w:hAnsiTheme="minorEastAsia"/>
          <w:b/>
          <w:sz w:val="24"/>
          <w:szCs w:val="24"/>
        </w:rPr>
        <w:t>统计分析功能</w:t>
      </w:r>
      <w:bookmarkEnd w:id="42"/>
      <w:bookmarkEnd w:id="43"/>
    </w:p>
    <w:p w14:paraId="6084F33B">
      <w:pPr>
        <w:spacing w:line="360" w:lineRule="auto"/>
        <w:ind w:right="88" w:rightChars="42" w:firstLine="470" w:firstLineChars="196"/>
        <w:rPr>
          <w:rFonts w:hint="eastAsia" w:cs="Arial" w:asciiTheme="minorEastAsia" w:hAnsiTheme="minorEastAsia"/>
          <w:bCs/>
          <w:sz w:val="24"/>
          <w:szCs w:val="24"/>
        </w:rPr>
      </w:pPr>
      <w:r>
        <w:rPr>
          <w:rFonts w:hint="eastAsia" w:cs="Arial" w:asciiTheme="minorEastAsia" w:hAnsiTheme="minorEastAsia"/>
          <w:bCs/>
          <w:sz w:val="24"/>
          <w:szCs w:val="24"/>
        </w:rPr>
        <w:t>系统</w:t>
      </w:r>
      <w:r>
        <w:rPr>
          <w:rFonts w:cs="Arial" w:asciiTheme="minorEastAsia" w:hAnsiTheme="minorEastAsia"/>
          <w:bCs/>
          <w:sz w:val="24"/>
          <w:szCs w:val="24"/>
        </w:rPr>
        <w:t>能提供全面的药物监测结果的统计分析功能，医院可对不合理用药处方（医嘱）监测结果进行查询再现、回顾性审查和多角度的统计分析，为医院相关部门提供医院用药管理的基础数据。</w:t>
      </w:r>
      <w:r>
        <w:rPr>
          <w:rFonts w:hint="eastAsia" w:cs="Arial" w:asciiTheme="minorEastAsia" w:hAnsiTheme="minorEastAsia"/>
          <w:bCs/>
          <w:sz w:val="24"/>
          <w:szCs w:val="24"/>
        </w:rPr>
        <w:t>还可根据医生填写的用药理由，生成</w:t>
      </w:r>
      <w:r>
        <w:rPr>
          <w:rFonts w:hint="eastAsia" w:cs="宋体" w:asciiTheme="minorEastAsia" w:hAnsiTheme="minorEastAsia"/>
          <w:kern w:val="0"/>
          <w:sz w:val="24"/>
          <w:szCs w:val="24"/>
        </w:rPr>
        <w:t>用药理由统计表。</w:t>
      </w:r>
    </w:p>
    <w:p w14:paraId="677407C8">
      <w:pPr>
        <w:numPr>
          <w:ilvl w:val="0"/>
          <w:numId w:val="27"/>
        </w:numPr>
        <w:tabs>
          <w:tab w:val="left" w:pos="854"/>
        </w:tabs>
        <w:spacing w:line="360" w:lineRule="auto"/>
        <w:ind w:left="454" w:hanging="20"/>
        <w:rPr>
          <w:rFonts w:hint="eastAsia" w:cs="Times New Roman" w:asciiTheme="minorEastAsia" w:hAnsiTheme="minorEastAsia"/>
          <w:b/>
          <w:sz w:val="24"/>
          <w:szCs w:val="24"/>
        </w:rPr>
      </w:pPr>
      <w:bookmarkStart w:id="44" w:name="_Toc423097796"/>
      <w:bookmarkStart w:id="45" w:name="_Toc443387399"/>
      <w:r>
        <w:rPr>
          <w:rFonts w:cs="Times New Roman" w:asciiTheme="minorEastAsia" w:hAnsiTheme="minorEastAsia"/>
          <w:b/>
          <w:sz w:val="24"/>
          <w:szCs w:val="24"/>
        </w:rPr>
        <w:t>自定义功能</w:t>
      </w:r>
      <w:bookmarkEnd w:id="44"/>
      <w:bookmarkEnd w:id="45"/>
    </w:p>
    <w:p w14:paraId="695B6C54">
      <w:pPr>
        <w:spacing w:line="360" w:lineRule="auto"/>
        <w:ind w:right="88" w:rightChars="42" w:firstLine="480" w:firstLineChars="200"/>
        <w:rPr>
          <w:rFonts w:hint="eastAsia" w:cs="Arial" w:asciiTheme="minorEastAsia" w:hAnsiTheme="minorEastAsia"/>
          <w:kern w:val="0"/>
          <w:sz w:val="24"/>
          <w:szCs w:val="24"/>
        </w:rPr>
      </w:pPr>
      <w:r>
        <w:rPr>
          <w:rFonts w:hint="eastAsia" w:cs="Arial" w:asciiTheme="minorEastAsia" w:hAnsiTheme="minorEastAsia"/>
          <w:kern w:val="0"/>
          <w:sz w:val="24"/>
          <w:szCs w:val="24"/>
        </w:rPr>
        <w:t>系统</w:t>
      </w:r>
      <w:r>
        <w:rPr>
          <w:rFonts w:cs="Arial" w:asciiTheme="minorEastAsia" w:hAnsiTheme="minorEastAsia"/>
          <w:kern w:val="0"/>
          <w:sz w:val="24"/>
          <w:szCs w:val="24"/>
        </w:rPr>
        <w:t>推出了全新的用户自定义数据库功能，包括审查结果的自主屏蔽功能与数据库自定义功能：</w:t>
      </w:r>
    </w:p>
    <w:p w14:paraId="7357C933">
      <w:pPr>
        <w:pStyle w:val="71"/>
        <w:numPr>
          <w:ilvl w:val="1"/>
          <w:numId w:val="27"/>
        </w:numPr>
        <w:spacing w:before="0" w:after="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问题处方（医嘱）的拦截功能</w:t>
      </w:r>
    </w:p>
    <w:p w14:paraId="09CE9EF2">
      <w:pPr>
        <w:spacing w:line="360" w:lineRule="auto"/>
        <w:ind w:right="88" w:rightChars="42" w:firstLine="480" w:firstLineChars="200"/>
        <w:rPr>
          <w:rFonts w:hint="eastAsia" w:cs="Arial" w:asciiTheme="minorEastAsia" w:hAnsiTheme="minorEastAsia"/>
          <w:bCs/>
          <w:kern w:val="0"/>
          <w:sz w:val="24"/>
          <w:szCs w:val="24"/>
        </w:rPr>
      </w:pPr>
      <w:r>
        <w:rPr>
          <w:rFonts w:hint="eastAsia" w:cs="Arial" w:asciiTheme="minorEastAsia" w:hAnsiTheme="minorEastAsia"/>
          <w:bCs/>
          <w:kern w:val="0"/>
          <w:sz w:val="24"/>
          <w:szCs w:val="24"/>
        </w:rPr>
        <w:t>为了减少药师工作量，提高审查效率，药师可自定义设置拦截规则，以避免可以硬性拦截的问题反复到药师处审查。医生必须返回修改触犯拦截规则的问题处方（医嘱），否则无法进行下一步操作。</w:t>
      </w:r>
    </w:p>
    <w:p w14:paraId="56B44F4D">
      <w:pPr>
        <w:pStyle w:val="71"/>
        <w:numPr>
          <w:ilvl w:val="1"/>
          <w:numId w:val="27"/>
        </w:numPr>
        <w:spacing w:before="0" w:after="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审查</w:t>
      </w:r>
      <w:r>
        <w:rPr>
          <w:rFonts w:asciiTheme="minorEastAsia" w:hAnsiTheme="minorEastAsia" w:eastAsiaTheme="minorEastAsia"/>
          <w:sz w:val="24"/>
          <w:szCs w:val="24"/>
        </w:rPr>
        <w:t>结果的屏蔽功能</w:t>
      </w:r>
    </w:p>
    <w:p w14:paraId="5E532F50">
      <w:pPr>
        <w:spacing w:line="360" w:lineRule="auto"/>
        <w:ind w:right="88" w:rightChars="42" w:firstLine="480" w:firstLineChars="200"/>
        <w:rPr>
          <w:rFonts w:hint="eastAsia" w:cs="Arial" w:asciiTheme="minorEastAsia" w:hAnsiTheme="minorEastAsia"/>
          <w:kern w:val="0"/>
          <w:sz w:val="24"/>
          <w:szCs w:val="24"/>
        </w:rPr>
      </w:pPr>
      <w:r>
        <w:rPr>
          <w:rFonts w:cs="Arial" w:asciiTheme="minorEastAsia" w:hAnsiTheme="minorEastAsia"/>
          <w:kern w:val="0"/>
          <w:sz w:val="24"/>
          <w:szCs w:val="24"/>
        </w:rPr>
        <w:t>由于理论数据与临床实际情况的偏差，可能会导致出现假阴性和假阳性的结果。为了减少类似的无效警示，用户可以根据临床实际情况或医院管理规定，对药物相互作用、体外配伍、配伍浓度、不良反应、药物禁忌症</w:t>
      </w:r>
      <w:r>
        <w:rPr>
          <w:rFonts w:hint="eastAsia" w:cs="Arial" w:asciiTheme="minorEastAsia" w:hAnsiTheme="minorEastAsia"/>
          <w:kern w:val="0"/>
          <w:sz w:val="24"/>
          <w:szCs w:val="24"/>
        </w:rPr>
        <w:t>、</w:t>
      </w:r>
      <w:r>
        <w:rPr>
          <w:rFonts w:cs="Arial" w:asciiTheme="minorEastAsia" w:hAnsiTheme="minorEastAsia"/>
          <w:kern w:val="0"/>
          <w:sz w:val="24"/>
          <w:szCs w:val="24"/>
        </w:rPr>
        <w:t>剂量范围、给药途径、特殊人群（儿童、成人、老人、性别、妊娠、哺乳）用药</w:t>
      </w:r>
      <w:r>
        <w:rPr>
          <w:rFonts w:hint="eastAsia" w:cs="Arial" w:asciiTheme="minorEastAsia" w:hAnsiTheme="minorEastAsia"/>
          <w:kern w:val="0"/>
          <w:sz w:val="24"/>
          <w:szCs w:val="24"/>
        </w:rPr>
        <w:t>、重复用药、药物过敏、检验检查申请单</w:t>
      </w:r>
      <w:r>
        <w:rPr>
          <w:rFonts w:cs="Arial" w:asciiTheme="minorEastAsia" w:hAnsiTheme="minorEastAsia"/>
          <w:kern w:val="0"/>
          <w:sz w:val="24"/>
          <w:szCs w:val="24"/>
        </w:rPr>
        <w:t>审查等模块进行</w:t>
      </w:r>
      <w:r>
        <w:rPr>
          <w:rFonts w:hint="eastAsia" w:cs="Arial" w:asciiTheme="minorEastAsia" w:hAnsiTheme="minorEastAsia"/>
          <w:kern w:val="0"/>
          <w:sz w:val="24"/>
          <w:szCs w:val="24"/>
        </w:rPr>
        <w:t>审查</w:t>
      </w:r>
      <w:r>
        <w:rPr>
          <w:rFonts w:cs="Arial" w:asciiTheme="minorEastAsia" w:hAnsiTheme="minorEastAsia"/>
          <w:kern w:val="0"/>
          <w:sz w:val="24"/>
          <w:szCs w:val="24"/>
        </w:rPr>
        <w:t>结果的自主屏蔽设置</w:t>
      </w:r>
      <w:r>
        <w:rPr>
          <w:rFonts w:hint="eastAsia" w:cs="Arial" w:asciiTheme="minorEastAsia" w:hAnsiTheme="minorEastAsia"/>
          <w:kern w:val="0"/>
          <w:sz w:val="24"/>
          <w:szCs w:val="24"/>
        </w:rPr>
        <w:t>，</w:t>
      </w:r>
      <w:r>
        <w:rPr>
          <w:rFonts w:cs="Arial" w:asciiTheme="minorEastAsia" w:hAnsiTheme="minorEastAsia"/>
          <w:kern w:val="0"/>
          <w:sz w:val="24"/>
          <w:szCs w:val="24"/>
        </w:rPr>
        <w:t>并可按照门诊</w:t>
      </w:r>
      <w:r>
        <w:rPr>
          <w:rFonts w:hint="eastAsia" w:cs="Arial" w:asciiTheme="minorEastAsia" w:hAnsiTheme="minorEastAsia"/>
          <w:kern w:val="0"/>
          <w:sz w:val="24"/>
          <w:szCs w:val="24"/>
        </w:rPr>
        <w:t>、</w:t>
      </w:r>
      <w:r>
        <w:rPr>
          <w:rFonts w:cs="Arial" w:asciiTheme="minorEastAsia" w:hAnsiTheme="minorEastAsia"/>
          <w:kern w:val="0"/>
          <w:sz w:val="24"/>
          <w:szCs w:val="24"/>
        </w:rPr>
        <w:t>住院</w:t>
      </w:r>
      <w:r>
        <w:rPr>
          <w:rFonts w:hint="eastAsia" w:cs="Arial" w:asciiTheme="minorEastAsia" w:hAnsiTheme="minorEastAsia"/>
          <w:kern w:val="0"/>
          <w:sz w:val="24"/>
          <w:szCs w:val="24"/>
        </w:rPr>
        <w:t>、</w:t>
      </w:r>
      <w:r>
        <w:rPr>
          <w:rFonts w:cs="Arial" w:asciiTheme="minorEastAsia" w:hAnsiTheme="minorEastAsia"/>
          <w:kern w:val="0"/>
          <w:sz w:val="24"/>
          <w:szCs w:val="24"/>
        </w:rPr>
        <w:t>急诊进行屏蔽。</w:t>
      </w:r>
    </w:p>
    <w:p w14:paraId="384AF0F2">
      <w:pPr>
        <w:spacing w:line="360" w:lineRule="auto"/>
        <w:ind w:right="88" w:rightChars="42" w:firstLine="480" w:firstLineChars="200"/>
        <w:rPr>
          <w:rFonts w:hint="eastAsia" w:cs="Arial" w:asciiTheme="minorEastAsia" w:hAnsiTheme="minorEastAsia"/>
          <w:kern w:val="0"/>
          <w:sz w:val="24"/>
          <w:szCs w:val="24"/>
        </w:rPr>
      </w:pPr>
      <w:r>
        <w:rPr>
          <w:rFonts w:cs="Arial" w:asciiTheme="minorEastAsia" w:hAnsiTheme="minorEastAsia"/>
          <w:kern w:val="0"/>
          <w:sz w:val="24"/>
          <w:szCs w:val="24"/>
        </w:rPr>
        <w:t>在对某药品的某一问题进行屏蔽设置之后，</w:t>
      </w:r>
      <w:r>
        <w:rPr>
          <w:rFonts w:hint="eastAsia" w:cs="Arial" w:asciiTheme="minorEastAsia" w:hAnsiTheme="minorEastAsia"/>
          <w:kern w:val="0"/>
          <w:sz w:val="24"/>
          <w:szCs w:val="24"/>
        </w:rPr>
        <w:t>系统</w:t>
      </w:r>
      <w:r>
        <w:rPr>
          <w:rFonts w:cs="Arial" w:asciiTheme="minorEastAsia" w:hAnsiTheme="minorEastAsia"/>
          <w:kern w:val="0"/>
          <w:sz w:val="24"/>
          <w:szCs w:val="24"/>
        </w:rPr>
        <w:t>将不会再对问题涉及的药品进行审查，亦不会弹出警示信息，并且屏蔽后的警示结果不会再计入以后的统计数据中。同时能够进行的操作还包括取消屏蔽和查看屏蔽操作日志，便于追溯问题。</w:t>
      </w:r>
    </w:p>
    <w:p w14:paraId="2E0A486F">
      <w:pPr>
        <w:pStyle w:val="71"/>
        <w:numPr>
          <w:ilvl w:val="1"/>
          <w:numId w:val="27"/>
        </w:numPr>
        <w:spacing w:before="0" w:after="0"/>
        <w:rPr>
          <w:rFonts w:hint="eastAsia" w:asciiTheme="minorEastAsia" w:hAnsiTheme="minorEastAsia" w:eastAsiaTheme="minorEastAsia"/>
          <w:sz w:val="24"/>
          <w:szCs w:val="24"/>
        </w:rPr>
      </w:pPr>
      <w:r>
        <w:rPr>
          <w:rFonts w:asciiTheme="minorEastAsia" w:hAnsiTheme="minorEastAsia" w:eastAsiaTheme="minorEastAsia"/>
          <w:sz w:val="24"/>
          <w:szCs w:val="24"/>
        </w:rPr>
        <w:t>自定义数据库功能</w:t>
      </w:r>
    </w:p>
    <w:p w14:paraId="5B899FF7">
      <w:pPr>
        <w:spacing w:line="360" w:lineRule="auto"/>
        <w:ind w:right="88" w:rightChars="42" w:firstLine="480" w:firstLineChars="200"/>
        <w:rPr>
          <w:rFonts w:hint="eastAsia" w:cs="Arial" w:asciiTheme="minorEastAsia" w:hAnsiTheme="minorEastAsia"/>
          <w:kern w:val="0"/>
          <w:sz w:val="24"/>
          <w:szCs w:val="24"/>
        </w:rPr>
      </w:pPr>
      <w:r>
        <w:rPr>
          <w:rFonts w:cs="Arial" w:asciiTheme="minorEastAsia" w:hAnsiTheme="minorEastAsia"/>
          <w:kern w:val="0"/>
          <w:sz w:val="24"/>
          <w:szCs w:val="24"/>
        </w:rPr>
        <w:t>用户可以通过该功能对所有药品进行警示数据的新增、修改和删除。</w:t>
      </w:r>
    </w:p>
    <w:p w14:paraId="49CAB82C">
      <w:pPr>
        <w:pStyle w:val="72"/>
        <w:numPr>
          <w:ilvl w:val="2"/>
          <w:numId w:val="27"/>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剂量范围</w:t>
      </w:r>
    </w:p>
    <w:p w14:paraId="010849FA">
      <w:pPr>
        <w:spacing w:line="360" w:lineRule="auto"/>
        <w:ind w:right="88" w:rightChars="42" w:firstLine="480" w:firstLineChars="200"/>
        <w:rPr>
          <w:rFonts w:hint="eastAsia" w:cs="Arial" w:asciiTheme="minorEastAsia" w:hAnsiTheme="minorEastAsia"/>
          <w:kern w:val="0"/>
          <w:sz w:val="24"/>
          <w:szCs w:val="24"/>
        </w:rPr>
      </w:pPr>
      <w:r>
        <w:rPr>
          <w:rFonts w:hint="eastAsia" w:cs="Arial" w:asciiTheme="minorEastAsia" w:hAnsiTheme="minorEastAsia"/>
          <w:kern w:val="0"/>
          <w:sz w:val="24"/>
          <w:szCs w:val="24"/>
        </w:rPr>
        <w:t>用户可以通过该功能对所有在用药品的次剂量、日剂量、给药频次、用药天数、疗程总剂量进行设置，每个审查点可分别设置应用效果。</w:t>
      </w:r>
    </w:p>
    <w:p w14:paraId="360AB511">
      <w:pPr>
        <w:pStyle w:val="72"/>
        <w:numPr>
          <w:ilvl w:val="2"/>
          <w:numId w:val="27"/>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中药饮片剂量</w:t>
      </w:r>
    </w:p>
    <w:p w14:paraId="53D11E53">
      <w:pPr>
        <w:spacing w:line="360" w:lineRule="auto"/>
        <w:ind w:right="88" w:rightChars="42" w:firstLine="480" w:firstLineChars="200"/>
        <w:rPr>
          <w:rFonts w:hint="eastAsia" w:cs="Arial" w:asciiTheme="minorEastAsia" w:hAnsiTheme="minorEastAsia"/>
          <w:b/>
          <w:sz w:val="24"/>
          <w:szCs w:val="24"/>
        </w:rPr>
      </w:pPr>
      <w:r>
        <w:rPr>
          <w:rFonts w:hint="eastAsia" w:cs="Arial" w:asciiTheme="minorEastAsia" w:hAnsiTheme="minorEastAsia"/>
          <w:kern w:val="0"/>
          <w:sz w:val="24"/>
          <w:szCs w:val="24"/>
        </w:rPr>
        <w:t>用户可以通过该功能批量设置中药饮片的每剂推荐量高值、低值和限制量，支持以系统审查数据的整数倍分别自定义设置中药饮片剂量标准高值和低值，还可针对不同医生、科室设置每剂用量审查规则。</w:t>
      </w:r>
      <w:bookmarkStart w:id="46" w:name="_Hlk72936240"/>
      <w:r>
        <w:rPr>
          <w:rFonts w:hint="eastAsia" w:cs="Arial" w:asciiTheme="minorEastAsia" w:hAnsiTheme="minorEastAsia"/>
          <w:kern w:val="0"/>
          <w:sz w:val="24"/>
          <w:szCs w:val="24"/>
        </w:rPr>
        <w:t>可设置中药膏方是否参与剂量审查。</w:t>
      </w:r>
      <w:bookmarkEnd w:id="46"/>
    </w:p>
    <w:p w14:paraId="18853098">
      <w:pPr>
        <w:pStyle w:val="72"/>
        <w:numPr>
          <w:ilvl w:val="2"/>
          <w:numId w:val="27"/>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肝损害剂量</w:t>
      </w:r>
    </w:p>
    <w:p w14:paraId="48A5F3E9">
      <w:pPr>
        <w:spacing w:line="360" w:lineRule="auto"/>
        <w:ind w:right="88" w:rightChars="42" w:firstLine="480" w:firstLineChars="200"/>
        <w:rPr>
          <w:rFonts w:hint="eastAsia" w:cs="Arial" w:asciiTheme="minorEastAsia" w:hAnsiTheme="minorEastAsia"/>
          <w:b/>
          <w:sz w:val="24"/>
          <w:szCs w:val="24"/>
        </w:rPr>
      </w:pPr>
      <w:r>
        <w:rPr>
          <w:rFonts w:hint="eastAsia" w:cs="Arial" w:asciiTheme="minorEastAsia" w:hAnsiTheme="minorEastAsia"/>
          <w:kern w:val="0"/>
          <w:sz w:val="24"/>
          <w:szCs w:val="24"/>
        </w:rPr>
        <w:t>用户可以通过该功能对肝功能不全患者用药的次剂量、日剂量、给药频次进行设置，每个审查点可分别设置应用效果。</w:t>
      </w:r>
    </w:p>
    <w:p w14:paraId="218B106E">
      <w:pPr>
        <w:pStyle w:val="72"/>
        <w:numPr>
          <w:ilvl w:val="2"/>
          <w:numId w:val="27"/>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肾损害剂量</w:t>
      </w:r>
    </w:p>
    <w:p w14:paraId="6F021D2E">
      <w:pPr>
        <w:spacing w:line="360" w:lineRule="auto"/>
        <w:ind w:right="88" w:rightChars="42" w:firstLine="480" w:firstLineChars="200"/>
        <w:rPr>
          <w:rFonts w:hint="eastAsia" w:cs="Arial" w:asciiTheme="minorEastAsia" w:hAnsiTheme="minorEastAsia"/>
          <w:kern w:val="0"/>
          <w:sz w:val="24"/>
          <w:szCs w:val="24"/>
        </w:rPr>
      </w:pPr>
      <w:r>
        <w:rPr>
          <w:rFonts w:hint="eastAsia" w:cs="Arial" w:asciiTheme="minorEastAsia" w:hAnsiTheme="minorEastAsia"/>
          <w:kern w:val="0"/>
          <w:sz w:val="24"/>
          <w:szCs w:val="24"/>
        </w:rPr>
        <w:t>用户可以通过该功能对肾功能不全患者用药的次剂量、日剂量、给药频次进行设置，每个审查点可分别设置应用效果。</w:t>
      </w:r>
    </w:p>
    <w:p w14:paraId="3F266A04">
      <w:pPr>
        <w:pStyle w:val="72"/>
        <w:numPr>
          <w:ilvl w:val="2"/>
          <w:numId w:val="27"/>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超多日用量</w:t>
      </w:r>
    </w:p>
    <w:p w14:paraId="3FBE027B">
      <w:pPr>
        <w:spacing w:line="360" w:lineRule="auto"/>
        <w:ind w:right="88" w:rightChars="42" w:firstLine="480" w:firstLineChars="200"/>
        <w:rPr>
          <w:rFonts w:hint="eastAsia" w:cs="Arial" w:asciiTheme="minorEastAsia" w:hAnsiTheme="minorEastAsia"/>
          <w:sz w:val="24"/>
          <w:szCs w:val="24"/>
        </w:rPr>
      </w:pPr>
      <w:r>
        <w:rPr>
          <w:rFonts w:hint="eastAsia" w:cs="Arial" w:asciiTheme="minorEastAsia" w:hAnsiTheme="minorEastAsia"/>
          <w:sz w:val="24"/>
          <w:szCs w:val="24"/>
        </w:rPr>
        <w:t>用户可以对门、急诊处方药品、麻醉药品、精一药品以及慢性病患者、出院患者带药药品超多日用量天数进行设置，其中慢性病患者门、急诊超多日用量天数可根据付费方式（自费/医保）分别设置，并可根据超出天数设置不同的警示级别，当医生开具的药品用量天数超出设置范围时，系统将发出警告提醒医生。</w:t>
      </w:r>
    </w:p>
    <w:p w14:paraId="7771F927">
      <w:pPr>
        <w:pStyle w:val="72"/>
        <w:numPr>
          <w:ilvl w:val="2"/>
          <w:numId w:val="27"/>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累积剂量</w:t>
      </w:r>
    </w:p>
    <w:p w14:paraId="6A705084">
      <w:pPr>
        <w:spacing w:line="360" w:lineRule="auto"/>
        <w:ind w:right="88" w:rightChars="42" w:firstLine="480" w:firstLineChars="200"/>
        <w:rPr>
          <w:rFonts w:hint="eastAsia" w:cs="Arial" w:asciiTheme="minorEastAsia" w:hAnsiTheme="minorEastAsia"/>
          <w:sz w:val="24"/>
          <w:szCs w:val="24"/>
        </w:rPr>
      </w:pPr>
      <w:r>
        <w:rPr>
          <w:rFonts w:hint="eastAsia" w:cs="Arial" w:asciiTheme="minorEastAsia" w:hAnsiTheme="minorEastAsia"/>
          <w:sz w:val="24"/>
          <w:szCs w:val="24"/>
        </w:rPr>
        <w:t>用户可以对患者当次住院、多次住院、历次门急诊和住院、每日的药品累积剂量上限进行设置，当医生开具医嘱药品累积用量超出设置上限时，系统将发出警告提醒医生。</w:t>
      </w:r>
    </w:p>
    <w:p w14:paraId="71CDC1D3">
      <w:pPr>
        <w:pStyle w:val="72"/>
        <w:numPr>
          <w:ilvl w:val="2"/>
          <w:numId w:val="27"/>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给药途径</w:t>
      </w:r>
    </w:p>
    <w:p w14:paraId="7D91AEBD">
      <w:pPr>
        <w:spacing w:line="360" w:lineRule="auto"/>
        <w:ind w:right="88" w:rightChars="42" w:firstLine="480" w:firstLineChars="200"/>
        <w:rPr>
          <w:rFonts w:hint="eastAsia" w:cs="Arial" w:asciiTheme="minorEastAsia" w:hAnsiTheme="minorEastAsia"/>
          <w:b/>
          <w:sz w:val="24"/>
          <w:szCs w:val="24"/>
        </w:rPr>
      </w:pPr>
      <w:r>
        <w:rPr>
          <w:rFonts w:hint="eastAsia" w:cs="Arial" w:asciiTheme="minorEastAsia" w:hAnsiTheme="minorEastAsia"/>
          <w:kern w:val="0"/>
          <w:sz w:val="24"/>
          <w:szCs w:val="24"/>
        </w:rPr>
        <w:t>用户可以通过该功能设置药品的不可用给药途径，当医生开具的药品给药途径不恰当时，</w:t>
      </w:r>
      <w:r>
        <w:rPr>
          <w:rFonts w:hint="eastAsia" w:cs="Arial" w:asciiTheme="minorEastAsia" w:hAnsiTheme="minorEastAsia"/>
          <w:sz w:val="24"/>
          <w:szCs w:val="24"/>
        </w:rPr>
        <w:t>系统将发出警告提醒医生。还可对问题的警示级别、警示信息进行设置。</w:t>
      </w:r>
    </w:p>
    <w:p w14:paraId="58E988DC">
      <w:pPr>
        <w:pStyle w:val="72"/>
        <w:numPr>
          <w:ilvl w:val="2"/>
          <w:numId w:val="27"/>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相互作用</w:t>
      </w:r>
    </w:p>
    <w:p w14:paraId="12345809">
      <w:pPr>
        <w:spacing w:line="360" w:lineRule="auto"/>
        <w:ind w:right="88" w:rightChars="42" w:firstLine="480" w:firstLineChars="200"/>
        <w:rPr>
          <w:rFonts w:hint="eastAsia" w:cs="Arial" w:asciiTheme="minorEastAsia" w:hAnsiTheme="minorEastAsia"/>
          <w:kern w:val="0"/>
          <w:sz w:val="24"/>
          <w:szCs w:val="24"/>
        </w:rPr>
      </w:pPr>
      <w:r>
        <w:rPr>
          <w:rFonts w:hint="eastAsia" w:cs="Arial" w:asciiTheme="minorEastAsia" w:hAnsiTheme="minorEastAsia"/>
          <w:kern w:val="0"/>
          <w:sz w:val="24"/>
          <w:szCs w:val="24"/>
        </w:rPr>
        <w:t>用户可以通过该功能设置，两个药品同时使用时会出现相互作用问题，并能对问题的警示级别、警示信息进行设置。</w:t>
      </w:r>
    </w:p>
    <w:p w14:paraId="7D220B43">
      <w:pPr>
        <w:spacing w:line="360" w:lineRule="auto"/>
        <w:ind w:right="88" w:rightChars="42" w:firstLine="480" w:firstLineChars="200"/>
        <w:rPr>
          <w:rFonts w:hint="eastAsia" w:cs="Arial" w:asciiTheme="minorEastAsia" w:hAnsiTheme="minorEastAsia"/>
          <w:b/>
          <w:sz w:val="24"/>
          <w:szCs w:val="24"/>
        </w:rPr>
      </w:pPr>
      <w:r>
        <w:rPr>
          <w:rFonts w:hint="eastAsia" w:cs="Arial" w:asciiTheme="minorEastAsia" w:hAnsiTheme="minorEastAsia"/>
          <w:kern w:val="0"/>
          <w:sz w:val="24"/>
          <w:szCs w:val="24"/>
        </w:rPr>
        <w:t>支持用户设置结合X（0≤X≤7）日内的历史处方参与相互作用审查。</w:t>
      </w:r>
    </w:p>
    <w:p w14:paraId="1E16F9CF">
      <w:pPr>
        <w:pStyle w:val="72"/>
        <w:numPr>
          <w:ilvl w:val="2"/>
          <w:numId w:val="27"/>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体外配伍</w:t>
      </w:r>
    </w:p>
    <w:p w14:paraId="727A4666">
      <w:pPr>
        <w:spacing w:line="360" w:lineRule="auto"/>
        <w:ind w:right="88" w:rightChars="42" w:firstLine="480" w:firstLineChars="200"/>
        <w:rPr>
          <w:rFonts w:hint="eastAsia" w:cs="Arial" w:asciiTheme="minorEastAsia" w:hAnsiTheme="minorEastAsia"/>
          <w:b/>
          <w:sz w:val="24"/>
          <w:szCs w:val="24"/>
        </w:rPr>
      </w:pPr>
      <w:r>
        <w:rPr>
          <w:rFonts w:hint="eastAsia" w:cs="Arial" w:asciiTheme="minorEastAsia" w:hAnsiTheme="minorEastAsia"/>
          <w:kern w:val="0"/>
          <w:sz w:val="24"/>
          <w:szCs w:val="24"/>
        </w:rPr>
        <w:t>用户可以通过该功能设置两药或多药配伍使用时需要警示的规则及问题的警示级别、警示信息，可设置药品的推荐溶媒、必须用溶媒稀释的药品，还可按照药物品种设置体外配伍审查规则。</w:t>
      </w:r>
    </w:p>
    <w:p w14:paraId="57EBACD7">
      <w:pPr>
        <w:pStyle w:val="72"/>
        <w:numPr>
          <w:ilvl w:val="2"/>
          <w:numId w:val="27"/>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配伍浓度</w:t>
      </w:r>
    </w:p>
    <w:p w14:paraId="0752A2A1">
      <w:pPr>
        <w:spacing w:line="360" w:lineRule="auto"/>
        <w:ind w:right="88" w:rightChars="42" w:firstLine="480" w:firstLineChars="200"/>
        <w:rPr>
          <w:rFonts w:hint="eastAsia" w:cs="Arial" w:asciiTheme="minorEastAsia" w:hAnsiTheme="minorEastAsia"/>
          <w:kern w:val="0"/>
          <w:sz w:val="24"/>
          <w:szCs w:val="24"/>
        </w:rPr>
      </w:pPr>
      <w:r>
        <w:rPr>
          <w:rFonts w:hint="eastAsia" w:cs="Arial" w:asciiTheme="minorEastAsia" w:hAnsiTheme="minorEastAsia"/>
          <w:kern w:val="0"/>
          <w:sz w:val="24"/>
          <w:szCs w:val="24"/>
        </w:rPr>
        <w:t>用户可以通过该功能设置配伍后的药品推荐浓度、限制浓度、推荐溶媒量、限制溶媒量及警示信息，还可设置结合给药途径进行审查。</w:t>
      </w:r>
    </w:p>
    <w:p w14:paraId="0835AAE5">
      <w:pPr>
        <w:pStyle w:val="72"/>
        <w:numPr>
          <w:ilvl w:val="2"/>
          <w:numId w:val="27"/>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钾离子监测</w:t>
      </w:r>
    </w:p>
    <w:p w14:paraId="0DE9D3B5">
      <w:pPr>
        <w:spacing w:line="360" w:lineRule="auto"/>
        <w:ind w:right="88" w:rightChars="42" w:firstLine="480" w:firstLineChars="200"/>
        <w:rPr>
          <w:rFonts w:hint="eastAsia" w:cs="Arial" w:asciiTheme="minorEastAsia" w:hAnsiTheme="minorEastAsia"/>
          <w:sz w:val="24"/>
          <w:szCs w:val="24"/>
        </w:rPr>
      </w:pPr>
      <w:r>
        <w:rPr>
          <w:rFonts w:hint="eastAsia" w:cs="Arial" w:asciiTheme="minorEastAsia" w:hAnsiTheme="minorEastAsia"/>
          <w:sz w:val="24"/>
          <w:szCs w:val="24"/>
        </w:rPr>
        <w:t>用户可以通过该功能对钾离子滴速、推荐浓度范围、限制浓度范围、每日补钾量范围进行设置。当系统自动计算后发现钾离子滴速、总浓度、每日补钾量超出设置范围时，系统将发出警告提醒医生。</w:t>
      </w:r>
    </w:p>
    <w:p w14:paraId="5E6B894A">
      <w:pPr>
        <w:pStyle w:val="72"/>
        <w:numPr>
          <w:ilvl w:val="2"/>
          <w:numId w:val="27"/>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TPN审查</w:t>
      </w:r>
    </w:p>
    <w:p w14:paraId="5E7EC11C">
      <w:pPr>
        <w:spacing w:line="360" w:lineRule="auto"/>
        <w:ind w:right="88" w:rightChars="42" w:firstLine="480" w:firstLineChars="200"/>
        <w:rPr>
          <w:rFonts w:hint="eastAsia" w:cs="Arial" w:asciiTheme="minorEastAsia" w:hAnsiTheme="minorEastAsia"/>
          <w:sz w:val="24"/>
          <w:szCs w:val="24"/>
        </w:rPr>
      </w:pPr>
      <w:r>
        <w:rPr>
          <w:rFonts w:hint="eastAsia" w:cs="Arial" w:asciiTheme="minorEastAsia" w:hAnsiTheme="minorEastAsia"/>
          <w:sz w:val="24"/>
          <w:szCs w:val="24"/>
        </w:rPr>
        <w:t>用户可以通过该功能分科室对TPN审查规则中糖脂比、热氮比、补液量、渗透压、离子浓度、氨基酸浓度、葡萄糖浓度等重要参数进行设置。可设置TPN处方中热量、氨基酸量、糖脂比、热氮比、补液量的审查方式，按组或按日审查。</w:t>
      </w:r>
    </w:p>
    <w:p w14:paraId="3FC33839">
      <w:pPr>
        <w:pStyle w:val="72"/>
        <w:numPr>
          <w:ilvl w:val="2"/>
          <w:numId w:val="27"/>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特殊人群用药</w:t>
      </w:r>
    </w:p>
    <w:p w14:paraId="3F50AF82">
      <w:pPr>
        <w:spacing w:line="360" w:lineRule="auto"/>
        <w:ind w:right="88" w:rightChars="42" w:firstLine="480" w:firstLineChars="200"/>
        <w:rPr>
          <w:rFonts w:hint="eastAsia" w:cs="Arial" w:asciiTheme="minorEastAsia" w:hAnsiTheme="minorEastAsia"/>
          <w:b/>
          <w:sz w:val="24"/>
          <w:szCs w:val="24"/>
        </w:rPr>
      </w:pPr>
      <w:r>
        <w:rPr>
          <w:rFonts w:hint="eastAsia" w:cs="Arial" w:asciiTheme="minorEastAsia" w:hAnsiTheme="minorEastAsia"/>
          <w:sz w:val="24"/>
          <w:szCs w:val="24"/>
        </w:rPr>
        <w:t>用户可以通过该功能对儿童、成人、老人、妊娠期、哺乳期、不同性别患者禁用或慎用的药品以及问题的警示级别、警示信息进行设置。还可以自定义设置儿童、成人、老人年龄值。</w:t>
      </w:r>
    </w:p>
    <w:p w14:paraId="1569EF09">
      <w:pPr>
        <w:pStyle w:val="72"/>
        <w:numPr>
          <w:ilvl w:val="2"/>
          <w:numId w:val="27"/>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禁忌症</w:t>
      </w:r>
    </w:p>
    <w:p w14:paraId="1C03F9D3">
      <w:pPr>
        <w:spacing w:line="360" w:lineRule="auto"/>
        <w:ind w:right="88" w:rightChars="42" w:firstLine="480" w:firstLineChars="200"/>
        <w:rPr>
          <w:rFonts w:hint="eastAsia" w:cs="Arial" w:asciiTheme="minorEastAsia" w:hAnsiTheme="minorEastAsia"/>
          <w:sz w:val="24"/>
          <w:szCs w:val="24"/>
        </w:rPr>
      </w:pPr>
      <w:r>
        <w:rPr>
          <w:rFonts w:hint="eastAsia" w:cs="Arial" w:asciiTheme="minorEastAsia" w:hAnsiTheme="minorEastAsia"/>
          <w:sz w:val="24"/>
          <w:szCs w:val="24"/>
        </w:rPr>
        <w:t>用户可以通过该功能设置药品的禁忌症，</w:t>
      </w:r>
      <w:r>
        <w:rPr>
          <w:rFonts w:hint="eastAsia" w:cs="Arial" w:asciiTheme="minorEastAsia" w:hAnsiTheme="minorEastAsia"/>
          <w:kern w:val="0"/>
          <w:sz w:val="24"/>
          <w:szCs w:val="24"/>
        </w:rPr>
        <w:t>当医生开具的药品禁忌症与病人诊断相符时，</w:t>
      </w:r>
      <w:r>
        <w:rPr>
          <w:rFonts w:hint="eastAsia" w:cs="Arial" w:asciiTheme="minorEastAsia" w:hAnsiTheme="minorEastAsia"/>
          <w:sz w:val="24"/>
          <w:szCs w:val="24"/>
        </w:rPr>
        <w:t>系统将发出警告提醒医生。还可对问题的警示级别、警示信息进行设置。</w:t>
      </w:r>
    </w:p>
    <w:p w14:paraId="5F93C70D">
      <w:pPr>
        <w:pStyle w:val="72"/>
        <w:numPr>
          <w:ilvl w:val="2"/>
          <w:numId w:val="27"/>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不良反应</w:t>
      </w:r>
    </w:p>
    <w:p w14:paraId="43482ECA">
      <w:pPr>
        <w:spacing w:line="360" w:lineRule="auto"/>
        <w:ind w:right="88" w:rightChars="42" w:firstLine="480" w:firstLineChars="200"/>
        <w:rPr>
          <w:rFonts w:hint="eastAsia" w:cs="Arial" w:asciiTheme="minorEastAsia" w:hAnsiTheme="minorEastAsia"/>
          <w:b/>
          <w:sz w:val="24"/>
          <w:szCs w:val="24"/>
        </w:rPr>
      </w:pPr>
      <w:r>
        <w:rPr>
          <w:rFonts w:hint="eastAsia" w:cs="Arial" w:asciiTheme="minorEastAsia" w:hAnsiTheme="minorEastAsia"/>
          <w:sz w:val="24"/>
          <w:szCs w:val="24"/>
        </w:rPr>
        <w:t>用户可以通过该功能设置药品的不良反应，</w:t>
      </w:r>
      <w:r>
        <w:rPr>
          <w:rFonts w:hint="eastAsia" w:cs="Arial" w:asciiTheme="minorEastAsia" w:hAnsiTheme="minorEastAsia"/>
          <w:kern w:val="0"/>
          <w:sz w:val="24"/>
          <w:szCs w:val="24"/>
        </w:rPr>
        <w:t>当医生开具的药品的不良反应与病人诊断相符时，</w:t>
      </w:r>
      <w:r>
        <w:rPr>
          <w:rFonts w:hint="eastAsia" w:cs="Arial" w:asciiTheme="minorEastAsia" w:hAnsiTheme="minorEastAsia"/>
          <w:sz w:val="24"/>
          <w:szCs w:val="24"/>
        </w:rPr>
        <w:t>系统将发出警告提醒医生。还可对问题的警示级别、警示信息进行设置。</w:t>
      </w:r>
    </w:p>
    <w:p w14:paraId="4337D8E5">
      <w:pPr>
        <w:pStyle w:val="72"/>
        <w:numPr>
          <w:ilvl w:val="2"/>
          <w:numId w:val="27"/>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门诊输液</w:t>
      </w:r>
    </w:p>
    <w:p w14:paraId="5088970B">
      <w:pPr>
        <w:spacing w:line="360" w:lineRule="auto"/>
        <w:ind w:right="88" w:rightChars="42" w:firstLine="480" w:firstLineChars="200"/>
        <w:rPr>
          <w:rFonts w:hint="eastAsia" w:cs="Arial" w:asciiTheme="minorEastAsia" w:hAnsiTheme="minorEastAsia"/>
          <w:sz w:val="24"/>
          <w:szCs w:val="24"/>
        </w:rPr>
      </w:pPr>
      <w:r>
        <w:rPr>
          <w:rFonts w:hint="eastAsia" w:cs="Arial" w:asciiTheme="minorEastAsia" w:hAnsiTheme="minorEastAsia"/>
          <w:sz w:val="24"/>
          <w:szCs w:val="24"/>
        </w:rPr>
        <w:t>用户可以对门诊输液药品限制使用的科室和疾病进行设置，当医生开具门诊处方输液药品超出可使用的科室和适应症时，系统将发出警告提醒医生。</w:t>
      </w:r>
    </w:p>
    <w:p w14:paraId="23175046">
      <w:pPr>
        <w:pStyle w:val="72"/>
        <w:numPr>
          <w:ilvl w:val="2"/>
          <w:numId w:val="27"/>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药物检验值</w:t>
      </w:r>
    </w:p>
    <w:p w14:paraId="506F47A6">
      <w:pPr>
        <w:spacing w:line="360" w:lineRule="auto"/>
        <w:ind w:right="88" w:rightChars="42" w:firstLine="480" w:firstLineChars="200"/>
        <w:rPr>
          <w:rFonts w:hint="eastAsia" w:cs="Arial" w:asciiTheme="minorEastAsia" w:hAnsiTheme="minorEastAsia"/>
          <w:sz w:val="24"/>
          <w:szCs w:val="24"/>
        </w:rPr>
      </w:pPr>
      <w:r>
        <w:rPr>
          <w:rFonts w:hint="eastAsia" w:cs="Arial" w:asciiTheme="minorEastAsia" w:hAnsiTheme="minorEastAsia"/>
          <w:sz w:val="24"/>
          <w:szCs w:val="24"/>
        </w:rPr>
        <w:t>用户可以通过该功能设置药品与患者检验值的不可用关系，当患者检验值在设置范围内，系统将发出警告提醒医生该患者不适宜用该药品，</w:t>
      </w:r>
      <w:r>
        <w:rPr>
          <w:rFonts w:cs="Arial" w:asciiTheme="minorEastAsia" w:hAnsiTheme="minorEastAsia"/>
          <w:sz w:val="24"/>
          <w:szCs w:val="24"/>
        </w:rPr>
        <w:t>可能需要调整病人的药物治疗方案</w:t>
      </w:r>
      <w:r>
        <w:rPr>
          <w:rFonts w:hint="eastAsia" w:cs="Arial" w:asciiTheme="minorEastAsia" w:hAnsiTheme="minorEastAsia"/>
          <w:sz w:val="24"/>
          <w:szCs w:val="24"/>
        </w:rPr>
        <w:t>。</w:t>
      </w:r>
    </w:p>
    <w:p w14:paraId="581C8A50">
      <w:pPr>
        <w:pStyle w:val="72"/>
        <w:numPr>
          <w:ilvl w:val="2"/>
          <w:numId w:val="27"/>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超适应症</w:t>
      </w:r>
    </w:p>
    <w:p w14:paraId="59F30530">
      <w:pPr>
        <w:spacing w:line="360" w:lineRule="auto"/>
        <w:ind w:right="88" w:rightChars="42" w:firstLine="480" w:firstLineChars="200"/>
        <w:rPr>
          <w:rFonts w:hint="eastAsia" w:cs="Arial" w:asciiTheme="minorEastAsia" w:hAnsiTheme="minorEastAsia"/>
          <w:sz w:val="24"/>
          <w:szCs w:val="24"/>
        </w:rPr>
      </w:pPr>
      <w:r>
        <w:rPr>
          <w:rFonts w:hint="eastAsia" w:cs="Arial" w:asciiTheme="minorEastAsia" w:hAnsiTheme="minorEastAsia"/>
          <w:sz w:val="24"/>
          <w:szCs w:val="24"/>
        </w:rPr>
        <w:t>用户可以通过该功能设置药品/品种适应症以及不可用的疾病。</w:t>
      </w:r>
    </w:p>
    <w:p w14:paraId="5B1AF261">
      <w:pPr>
        <w:spacing w:line="360" w:lineRule="auto"/>
        <w:ind w:right="88" w:rightChars="42" w:firstLine="480" w:firstLineChars="200"/>
        <w:rPr>
          <w:rFonts w:hint="eastAsia" w:cs="Arial" w:asciiTheme="minorEastAsia" w:hAnsiTheme="minorEastAsia"/>
          <w:sz w:val="24"/>
          <w:szCs w:val="24"/>
        </w:rPr>
      </w:pPr>
      <w:r>
        <w:rPr>
          <w:rFonts w:hint="eastAsia" w:cs="Arial" w:asciiTheme="minorEastAsia" w:hAnsiTheme="minorEastAsia"/>
          <w:sz w:val="24"/>
          <w:szCs w:val="24"/>
        </w:rPr>
        <w:t>用户可设置在指定检验检查项目、检验结果范围内或与特定药品/品种联用时不属于超适应症用药的规则。</w:t>
      </w:r>
    </w:p>
    <w:p w14:paraId="33D15B51">
      <w:pPr>
        <w:pStyle w:val="72"/>
        <w:numPr>
          <w:ilvl w:val="2"/>
          <w:numId w:val="27"/>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科室、</w:t>
      </w:r>
      <w:r>
        <w:rPr>
          <w:rFonts w:asciiTheme="minorEastAsia" w:hAnsiTheme="minorEastAsia" w:eastAsiaTheme="minorEastAsia"/>
          <w:sz w:val="24"/>
          <w:szCs w:val="24"/>
        </w:rPr>
        <w:t>医生、患者权限</w:t>
      </w:r>
    </w:p>
    <w:p w14:paraId="01A8F15F">
      <w:pPr>
        <w:spacing w:line="360" w:lineRule="auto"/>
        <w:ind w:right="88" w:rightChars="42" w:firstLine="480" w:firstLineChars="200"/>
        <w:rPr>
          <w:rFonts w:hint="eastAsia" w:cs="Arial" w:asciiTheme="minorEastAsia" w:hAnsiTheme="minorEastAsia"/>
          <w:kern w:val="0"/>
          <w:sz w:val="24"/>
          <w:szCs w:val="24"/>
        </w:rPr>
      </w:pPr>
      <w:r>
        <w:rPr>
          <w:rFonts w:cs="Arial" w:asciiTheme="minorEastAsia" w:hAnsiTheme="minorEastAsia"/>
          <w:kern w:val="0"/>
          <w:sz w:val="24"/>
          <w:szCs w:val="24"/>
        </w:rPr>
        <w:t>用户可以通过该功能对医疗机构内的医生</w:t>
      </w:r>
      <w:r>
        <w:rPr>
          <w:rFonts w:hint="eastAsia" w:cs="Arial" w:asciiTheme="minorEastAsia" w:hAnsiTheme="minorEastAsia"/>
          <w:kern w:val="0"/>
          <w:sz w:val="24"/>
          <w:szCs w:val="24"/>
        </w:rPr>
        <w:t>/医生组、科室/科室组有权和</w:t>
      </w:r>
      <w:r>
        <w:rPr>
          <w:rFonts w:cs="Arial" w:asciiTheme="minorEastAsia" w:hAnsiTheme="minorEastAsia"/>
          <w:kern w:val="0"/>
          <w:sz w:val="24"/>
          <w:szCs w:val="24"/>
        </w:rPr>
        <w:t>无权使用的药品清单进行新增、修改和删除。通过对有处方权的医生</w:t>
      </w:r>
      <w:r>
        <w:rPr>
          <w:rFonts w:hint="eastAsia" w:cs="Arial" w:asciiTheme="minorEastAsia" w:hAnsiTheme="minorEastAsia"/>
          <w:kern w:val="0"/>
          <w:sz w:val="24"/>
          <w:szCs w:val="24"/>
        </w:rPr>
        <w:t>/医生组、科室</w:t>
      </w:r>
      <w:r>
        <w:rPr>
          <w:rFonts w:cs="Arial" w:asciiTheme="minorEastAsia" w:hAnsiTheme="minorEastAsia"/>
          <w:kern w:val="0"/>
          <w:sz w:val="24"/>
          <w:szCs w:val="24"/>
        </w:rPr>
        <w:t>与药品的</w:t>
      </w:r>
      <w:r>
        <w:rPr>
          <w:rFonts w:hint="eastAsia" w:cs="Arial" w:asciiTheme="minorEastAsia" w:hAnsiTheme="minorEastAsia"/>
          <w:kern w:val="0"/>
          <w:sz w:val="24"/>
          <w:szCs w:val="24"/>
        </w:rPr>
        <w:t>使用</w:t>
      </w:r>
      <w:r>
        <w:rPr>
          <w:rFonts w:cs="Arial" w:asciiTheme="minorEastAsia" w:hAnsiTheme="minorEastAsia"/>
          <w:kern w:val="0"/>
          <w:sz w:val="24"/>
          <w:szCs w:val="24"/>
        </w:rPr>
        <w:t>关系的设置，规定</w:t>
      </w:r>
      <w:r>
        <w:rPr>
          <w:rFonts w:hint="eastAsia" w:cs="Arial" w:asciiTheme="minorEastAsia" w:hAnsiTheme="minorEastAsia"/>
          <w:kern w:val="0"/>
          <w:sz w:val="24"/>
          <w:szCs w:val="24"/>
        </w:rPr>
        <w:t>科室、</w:t>
      </w:r>
      <w:r>
        <w:rPr>
          <w:rFonts w:cs="Arial" w:asciiTheme="minorEastAsia" w:hAnsiTheme="minorEastAsia"/>
          <w:kern w:val="0"/>
          <w:sz w:val="24"/>
          <w:szCs w:val="24"/>
        </w:rPr>
        <w:t>医生</w:t>
      </w:r>
      <w:r>
        <w:rPr>
          <w:rFonts w:hint="eastAsia" w:cs="Arial" w:asciiTheme="minorEastAsia" w:hAnsiTheme="minorEastAsia"/>
          <w:kern w:val="0"/>
          <w:sz w:val="24"/>
          <w:szCs w:val="24"/>
        </w:rPr>
        <w:t>/医生组</w:t>
      </w:r>
      <w:r>
        <w:rPr>
          <w:rFonts w:cs="Arial" w:asciiTheme="minorEastAsia" w:hAnsiTheme="minorEastAsia"/>
          <w:kern w:val="0"/>
          <w:sz w:val="24"/>
          <w:szCs w:val="24"/>
        </w:rPr>
        <w:t>开具特殊药品（毒、麻、精、兴、放等）的权限。当出现越权用药的情况时，系统将发出警告提醒医生可能需要调整病人的药物治疗方案。</w:t>
      </w:r>
    </w:p>
    <w:p w14:paraId="49406CCD">
      <w:pPr>
        <w:spacing w:line="360" w:lineRule="auto"/>
        <w:ind w:right="88" w:rightChars="42" w:firstLine="480" w:firstLineChars="200"/>
        <w:rPr>
          <w:rFonts w:hint="eastAsia" w:cs="Arial" w:asciiTheme="minorEastAsia" w:hAnsiTheme="minorEastAsia"/>
          <w:kern w:val="0"/>
          <w:sz w:val="24"/>
          <w:szCs w:val="24"/>
        </w:rPr>
      </w:pPr>
      <w:r>
        <w:rPr>
          <w:rFonts w:cs="Arial" w:asciiTheme="minorEastAsia" w:hAnsiTheme="minorEastAsia"/>
          <w:kern w:val="0"/>
          <w:sz w:val="24"/>
          <w:szCs w:val="24"/>
        </w:rPr>
        <w:t>用户可针对</w:t>
      </w:r>
      <w:r>
        <w:rPr>
          <w:rFonts w:hint="eastAsia" w:cs="Arial" w:asciiTheme="minorEastAsia" w:hAnsiTheme="minorEastAsia"/>
          <w:kern w:val="0"/>
          <w:sz w:val="24"/>
          <w:szCs w:val="24"/>
        </w:rPr>
        <w:t>特定</w:t>
      </w:r>
      <w:r>
        <w:rPr>
          <w:rFonts w:cs="Arial" w:asciiTheme="minorEastAsia" w:hAnsiTheme="minorEastAsia"/>
          <w:kern w:val="0"/>
          <w:sz w:val="24"/>
          <w:szCs w:val="24"/>
        </w:rPr>
        <w:t>药品设置患者权限</w:t>
      </w:r>
      <w:r>
        <w:rPr>
          <w:rFonts w:hint="eastAsia" w:cs="Arial" w:asciiTheme="minorEastAsia" w:hAnsiTheme="minorEastAsia"/>
          <w:kern w:val="0"/>
          <w:sz w:val="24"/>
          <w:szCs w:val="24"/>
        </w:rPr>
        <w:t>白名单</w:t>
      </w:r>
      <w:r>
        <w:rPr>
          <w:rFonts w:cs="Arial" w:asciiTheme="minorEastAsia" w:hAnsiTheme="minorEastAsia"/>
          <w:kern w:val="0"/>
          <w:sz w:val="24"/>
          <w:szCs w:val="24"/>
        </w:rPr>
        <w:t>，实现对临采药品的使用管控。</w:t>
      </w:r>
    </w:p>
    <w:p w14:paraId="479AE384">
      <w:pPr>
        <w:spacing w:line="360" w:lineRule="auto"/>
        <w:ind w:right="88" w:rightChars="42" w:firstLine="480" w:firstLineChars="200"/>
        <w:rPr>
          <w:rFonts w:hint="eastAsia" w:cs="Arial" w:asciiTheme="minorEastAsia" w:hAnsiTheme="minorEastAsia"/>
          <w:kern w:val="0"/>
          <w:sz w:val="24"/>
          <w:szCs w:val="24"/>
        </w:rPr>
      </w:pPr>
      <w:r>
        <w:rPr>
          <w:rFonts w:cs="Arial" w:asciiTheme="minorEastAsia" w:hAnsiTheme="minorEastAsia"/>
          <w:kern w:val="0"/>
          <w:sz w:val="24"/>
          <w:szCs w:val="24"/>
        </w:rPr>
        <w:t>用户可设置</w:t>
      </w:r>
      <w:r>
        <w:rPr>
          <w:rFonts w:hint="eastAsia" w:cs="Arial" w:asciiTheme="minorEastAsia" w:hAnsiTheme="minorEastAsia"/>
          <w:kern w:val="0"/>
          <w:sz w:val="24"/>
          <w:szCs w:val="24"/>
        </w:rPr>
        <w:t>是否</w:t>
      </w:r>
      <w:r>
        <w:rPr>
          <w:rFonts w:cs="Arial" w:asciiTheme="minorEastAsia" w:hAnsiTheme="minorEastAsia"/>
          <w:kern w:val="0"/>
          <w:sz w:val="24"/>
          <w:szCs w:val="24"/>
        </w:rPr>
        <w:t>允许住院医生越权开具不超过一日量的特殊级抗菌药物。</w:t>
      </w:r>
    </w:p>
    <w:p w14:paraId="1C172B9A">
      <w:pPr>
        <w:pStyle w:val="72"/>
        <w:numPr>
          <w:ilvl w:val="2"/>
          <w:numId w:val="27"/>
        </w:numPr>
        <w:spacing w:before="0" w:after="0" w:line="360" w:lineRule="auto"/>
        <w:rPr>
          <w:rFonts w:hint="eastAsia" w:asciiTheme="minorEastAsia" w:hAnsiTheme="minorEastAsia" w:eastAsiaTheme="minorEastAsia"/>
          <w:sz w:val="24"/>
          <w:szCs w:val="24"/>
        </w:rPr>
      </w:pPr>
      <w:r>
        <w:rPr>
          <w:rFonts w:asciiTheme="minorEastAsia" w:hAnsiTheme="minorEastAsia" w:eastAsiaTheme="minorEastAsia"/>
          <w:sz w:val="24"/>
          <w:szCs w:val="24"/>
        </w:rPr>
        <w:t>围术期警示</w:t>
      </w:r>
    </w:p>
    <w:p w14:paraId="3FF074F5">
      <w:pPr>
        <w:spacing w:line="360" w:lineRule="auto"/>
        <w:ind w:right="88" w:rightChars="42" w:firstLine="480" w:firstLineChars="200"/>
        <w:rPr>
          <w:rFonts w:hint="eastAsia" w:cs="Arial" w:asciiTheme="minorEastAsia" w:hAnsiTheme="minorEastAsia"/>
          <w:kern w:val="0"/>
          <w:sz w:val="24"/>
          <w:szCs w:val="24"/>
        </w:rPr>
      </w:pPr>
      <w:r>
        <w:rPr>
          <w:rFonts w:cs="Arial" w:asciiTheme="minorEastAsia" w:hAnsiTheme="minorEastAsia"/>
          <w:kern w:val="0"/>
          <w:sz w:val="24"/>
          <w:szCs w:val="24"/>
        </w:rPr>
        <w:t>用户可以通过该功能对围术期不可预防使用抗菌药物的手术、某手术与药品的可用关系、某手术与药品使用时间的关系进行设置。若在处方（医嘱）中超出医院规定的设置，如：使用了不可在围术期内预防使用的抗菌药物，超出医院的规定在围术期使用了不符合手术要求的抗菌药物品种，手术使用抗菌药物的累计时长超限等情况，系统均会发出警告提示围术期用药不合理，可能需要调整用药方案。</w:t>
      </w:r>
    </w:p>
    <w:p w14:paraId="06C3B5D2">
      <w:pPr>
        <w:pStyle w:val="72"/>
        <w:numPr>
          <w:ilvl w:val="2"/>
          <w:numId w:val="27"/>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重复用药</w:t>
      </w:r>
    </w:p>
    <w:p w14:paraId="1D22F276">
      <w:pPr>
        <w:spacing w:line="360" w:lineRule="auto"/>
        <w:ind w:right="88" w:rightChars="42" w:firstLine="480" w:firstLineChars="200"/>
        <w:rPr>
          <w:rFonts w:hint="eastAsia" w:cs="Arial" w:asciiTheme="minorEastAsia" w:hAnsiTheme="minorEastAsia"/>
          <w:sz w:val="24"/>
          <w:szCs w:val="24"/>
        </w:rPr>
      </w:pPr>
      <w:r>
        <w:rPr>
          <w:rFonts w:hint="eastAsia" w:cs="Arial" w:asciiTheme="minorEastAsia" w:hAnsiTheme="minorEastAsia"/>
          <w:sz w:val="24"/>
          <w:szCs w:val="24"/>
        </w:rPr>
        <w:t>用户可以根据系统提供的治疗分类设置每一类药物在同一处方（医嘱）中可以同时使用的药品数量，还可自行增加治疗分类并维护各分类项下的药品目录</w:t>
      </w:r>
      <w:bookmarkStart w:id="47" w:name="_Hlk72936403"/>
      <w:r>
        <w:rPr>
          <w:rFonts w:hint="eastAsia" w:cs="Arial" w:asciiTheme="minorEastAsia" w:hAnsiTheme="minorEastAsia"/>
          <w:sz w:val="24"/>
          <w:szCs w:val="24"/>
        </w:rPr>
        <w:t>，</w:t>
      </w:r>
      <w:r>
        <w:rPr>
          <w:rFonts w:hint="eastAsia" w:cs="Arial" w:asciiTheme="minorEastAsia" w:hAnsiTheme="minorEastAsia"/>
          <w:kern w:val="0"/>
          <w:sz w:val="24"/>
          <w:szCs w:val="24"/>
        </w:rPr>
        <w:t>并能对问题的警示级别、警示信息进行设置</w:t>
      </w:r>
      <w:bookmarkEnd w:id="47"/>
      <w:r>
        <w:rPr>
          <w:rFonts w:hint="eastAsia" w:cs="Arial" w:asciiTheme="minorEastAsia" w:hAnsiTheme="minorEastAsia"/>
          <w:sz w:val="24"/>
          <w:szCs w:val="24"/>
        </w:rPr>
        <w:t>。可以结合给药途径、给药频次、用药备注等条件设置重复用药豁免条件，当处方（医嘱）满足豁免条件时，指定药品之间不属于重复用药。</w:t>
      </w:r>
    </w:p>
    <w:p w14:paraId="60BC630B">
      <w:pPr>
        <w:spacing w:line="360" w:lineRule="auto"/>
        <w:ind w:right="88" w:rightChars="42" w:firstLine="480" w:firstLineChars="200"/>
        <w:rPr>
          <w:rFonts w:hint="eastAsia" w:cs="Arial" w:asciiTheme="minorEastAsia" w:hAnsiTheme="minorEastAsia"/>
          <w:sz w:val="24"/>
          <w:szCs w:val="24"/>
        </w:rPr>
      </w:pPr>
      <w:r>
        <w:rPr>
          <w:rFonts w:hint="eastAsia" w:cs="Arial" w:asciiTheme="minorEastAsia" w:hAnsiTheme="minorEastAsia"/>
          <w:sz w:val="24"/>
          <w:szCs w:val="24"/>
        </w:rPr>
        <w:t>住院医嘱可设置住院药品与审查时间有交叉才审查。</w:t>
      </w:r>
    </w:p>
    <w:p w14:paraId="36309675">
      <w:pPr>
        <w:spacing w:line="360" w:lineRule="auto"/>
        <w:ind w:right="88" w:rightChars="42" w:firstLine="480" w:firstLineChars="200"/>
        <w:rPr>
          <w:rFonts w:hint="eastAsia" w:cs="Arial" w:asciiTheme="minorEastAsia" w:hAnsiTheme="minorEastAsia"/>
          <w:sz w:val="24"/>
          <w:szCs w:val="24"/>
        </w:rPr>
      </w:pPr>
      <w:r>
        <w:rPr>
          <w:rFonts w:hint="eastAsia" w:cs="Arial" w:asciiTheme="minorEastAsia" w:hAnsiTheme="minorEastAsia"/>
          <w:kern w:val="0"/>
          <w:sz w:val="24"/>
          <w:szCs w:val="24"/>
        </w:rPr>
        <w:t>支持用户设置结合X（0≤X≤7）日内的历史处方参与重复用药审查。</w:t>
      </w:r>
    </w:p>
    <w:p w14:paraId="0108CAD8">
      <w:pPr>
        <w:pStyle w:val="72"/>
        <w:numPr>
          <w:ilvl w:val="2"/>
          <w:numId w:val="27"/>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药物过敏</w:t>
      </w:r>
    </w:p>
    <w:p w14:paraId="495A66C2">
      <w:pPr>
        <w:spacing w:line="360" w:lineRule="auto"/>
        <w:ind w:right="88" w:rightChars="42" w:firstLine="480" w:firstLineChars="200"/>
        <w:rPr>
          <w:rFonts w:hint="eastAsia" w:cs="Arial" w:asciiTheme="minorEastAsia" w:hAnsiTheme="minorEastAsia"/>
          <w:sz w:val="24"/>
          <w:szCs w:val="24"/>
        </w:rPr>
      </w:pPr>
      <w:r>
        <w:rPr>
          <w:rFonts w:hint="eastAsia" w:cs="Arial" w:asciiTheme="minorEastAsia" w:hAnsiTheme="minorEastAsia"/>
          <w:sz w:val="24"/>
          <w:szCs w:val="24"/>
        </w:rPr>
        <w:t>用户可以对药品与过敏原对应关系进行设置，当患者历史过敏信息中的过敏原与医生处方药品符合对应关系时，系统将发出警告提醒医生。</w:t>
      </w:r>
    </w:p>
    <w:p w14:paraId="2C24F35A">
      <w:pPr>
        <w:pStyle w:val="72"/>
        <w:numPr>
          <w:ilvl w:val="2"/>
          <w:numId w:val="27"/>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规范性审查</w:t>
      </w:r>
    </w:p>
    <w:p w14:paraId="20987E97">
      <w:pPr>
        <w:spacing w:line="360" w:lineRule="auto"/>
        <w:ind w:right="88" w:rightChars="42" w:firstLine="480"/>
        <w:rPr>
          <w:rFonts w:hint="eastAsia" w:cs="Arial" w:asciiTheme="minorEastAsia" w:hAnsiTheme="minorEastAsia"/>
          <w:sz w:val="24"/>
          <w:szCs w:val="24"/>
        </w:rPr>
      </w:pPr>
      <w:r>
        <w:rPr>
          <w:rFonts w:hint="eastAsia" w:cs="Arial" w:asciiTheme="minorEastAsia" w:hAnsiTheme="minorEastAsia"/>
          <w:sz w:val="24"/>
          <w:szCs w:val="24"/>
        </w:rPr>
        <w:t>用户可以设置具体的审核规则是否开启、是否开启拦截以及生效范围。用户可设定年龄、诊断、剂量相关的参数，可结合年龄、药品对必须填写身高、体重的情况进行设置，还可设置临床诊断书写不规范审查的豁免科室。</w:t>
      </w:r>
    </w:p>
    <w:p w14:paraId="153D37DB">
      <w:pPr>
        <w:pStyle w:val="72"/>
        <w:numPr>
          <w:ilvl w:val="2"/>
          <w:numId w:val="27"/>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医保审查</w:t>
      </w:r>
    </w:p>
    <w:p w14:paraId="68948D98">
      <w:pPr>
        <w:spacing w:line="360" w:lineRule="auto"/>
        <w:ind w:right="88" w:rightChars="42" w:firstLine="480"/>
        <w:rPr>
          <w:rFonts w:hint="eastAsia" w:cs="Arial" w:asciiTheme="minorEastAsia" w:hAnsiTheme="minorEastAsia"/>
          <w:sz w:val="24"/>
          <w:szCs w:val="24"/>
        </w:rPr>
      </w:pPr>
      <w:r>
        <w:rPr>
          <w:rFonts w:hint="eastAsia" w:cs="Arial" w:asciiTheme="minorEastAsia" w:hAnsiTheme="minorEastAsia"/>
          <w:sz w:val="24"/>
          <w:szCs w:val="24"/>
        </w:rPr>
        <w:t>用户可以设置具体的医保规则是否开启审查、是否开启拦截。</w:t>
      </w:r>
    </w:p>
    <w:p w14:paraId="2608F389">
      <w:pPr>
        <w:pStyle w:val="72"/>
        <w:numPr>
          <w:ilvl w:val="2"/>
          <w:numId w:val="27"/>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监测指标</w:t>
      </w:r>
    </w:p>
    <w:p w14:paraId="40739727">
      <w:pPr>
        <w:spacing w:line="360" w:lineRule="auto"/>
        <w:ind w:right="88" w:rightChars="42" w:firstLine="480"/>
        <w:rPr>
          <w:rFonts w:hint="eastAsia" w:cs="Arial" w:asciiTheme="minorEastAsia" w:hAnsiTheme="minorEastAsia"/>
          <w:sz w:val="24"/>
          <w:szCs w:val="24"/>
        </w:rPr>
      </w:pPr>
      <w:r>
        <w:rPr>
          <w:rFonts w:hint="eastAsia" w:cs="Arial" w:asciiTheme="minorEastAsia" w:hAnsiTheme="minorEastAsia"/>
          <w:sz w:val="24"/>
          <w:szCs w:val="24"/>
        </w:rPr>
        <w:t>用户可以设置住院病人使用某药品时需监测的指标，还可设置问题的警示级别和警示信息。</w:t>
      </w:r>
    </w:p>
    <w:p w14:paraId="2D7A787A">
      <w:pPr>
        <w:pStyle w:val="72"/>
        <w:numPr>
          <w:ilvl w:val="2"/>
          <w:numId w:val="27"/>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自由自定义</w:t>
      </w:r>
    </w:p>
    <w:p w14:paraId="4E6CBAD5">
      <w:pPr>
        <w:spacing w:line="360" w:lineRule="auto"/>
        <w:ind w:right="88" w:rightChars="42" w:firstLine="480" w:firstLineChars="200"/>
        <w:rPr>
          <w:rFonts w:hint="eastAsia" w:cs="Arial" w:asciiTheme="minorEastAsia" w:hAnsiTheme="minorEastAsia"/>
          <w:sz w:val="24"/>
          <w:szCs w:val="24"/>
        </w:rPr>
      </w:pPr>
      <w:r>
        <w:rPr>
          <w:rFonts w:hint="eastAsia" w:cs="Arial" w:asciiTheme="minorEastAsia" w:hAnsiTheme="minorEastAsia"/>
          <w:sz w:val="24"/>
          <w:szCs w:val="24"/>
        </w:rPr>
        <w:t>用户可以根据药品管理需要，通过可视化自定义工具选择审查要素，新建多条件、复杂条件的审查逻辑。</w:t>
      </w:r>
    </w:p>
    <w:p w14:paraId="3C486767">
      <w:pPr>
        <w:pStyle w:val="72"/>
        <w:numPr>
          <w:ilvl w:val="2"/>
          <w:numId w:val="27"/>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药品专项管控</w:t>
      </w:r>
    </w:p>
    <w:p w14:paraId="40B3B515">
      <w:pPr>
        <w:spacing w:line="360" w:lineRule="auto"/>
        <w:ind w:right="88" w:rightChars="42" w:firstLine="482"/>
        <w:rPr>
          <w:rFonts w:hint="eastAsia" w:cs="Arial" w:asciiTheme="minorEastAsia" w:hAnsiTheme="minorEastAsia"/>
          <w:sz w:val="24"/>
          <w:szCs w:val="24"/>
        </w:rPr>
      </w:pPr>
      <w:r>
        <w:rPr>
          <w:rFonts w:hint="eastAsia" w:cs="Arial" w:asciiTheme="minorEastAsia" w:hAnsiTheme="minorEastAsia"/>
          <w:sz w:val="24"/>
          <w:szCs w:val="24"/>
        </w:rPr>
        <w:t>用户可以根据本院实际情况，设置应激性溃疡风险预警规则，包括疾病名称、患者年龄、疾病状态或疾病史、联用药品、INR值等参数；设置手术是否可以预防使用PPI、手术预防使用的PPI药品品种以及术后PPI用药疗程。</w:t>
      </w:r>
    </w:p>
    <w:p w14:paraId="4936B83A">
      <w:pPr>
        <w:spacing w:line="360" w:lineRule="auto"/>
        <w:ind w:right="88" w:rightChars="42" w:firstLine="482"/>
        <w:rPr>
          <w:rFonts w:hint="eastAsia" w:cs="Arial" w:asciiTheme="minorEastAsia" w:hAnsiTheme="minorEastAsia"/>
          <w:sz w:val="24"/>
          <w:szCs w:val="24"/>
        </w:rPr>
      </w:pPr>
      <w:r>
        <w:rPr>
          <w:rFonts w:hint="eastAsia" w:cs="Arial" w:asciiTheme="minorEastAsia" w:hAnsiTheme="minorEastAsia"/>
          <w:sz w:val="24"/>
          <w:szCs w:val="24"/>
        </w:rPr>
        <w:t>用户可以根据本院规定，维护中药协定方组成（中药名、剂量、剂量单位）及主治。</w:t>
      </w:r>
    </w:p>
    <w:p w14:paraId="53465B7E">
      <w:pPr>
        <w:spacing w:line="360" w:lineRule="auto"/>
        <w:ind w:right="88" w:rightChars="42" w:firstLine="482"/>
        <w:rPr>
          <w:rFonts w:hint="eastAsia" w:cs="Arial" w:asciiTheme="minorEastAsia" w:hAnsiTheme="minorEastAsia"/>
          <w:sz w:val="24"/>
          <w:szCs w:val="24"/>
        </w:rPr>
      </w:pPr>
      <w:r>
        <w:rPr>
          <w:rFonts w:hint="eastAsia" w:cs="Arial" w:asciiTheme="minorEastAsia" w:hAnsiTheme="minorEastAsia"/>
          <w:sz w:val="24"/>
          <w:szCs w:val="24"/>
        </w:rPr>
        <w:t>用户可以根据本院实际情况，设置紫杉醇、紫杉醇脂质体、多西他赛过敏反应预处理药品品种。</w:t>
      </w:r>
    </w:p>
    <w:p w14:paraId="4D30C31F">
      <w:pPr>
        <w:spacing w:line="360" w:lineRule="auto"/>
        <w:ind w:right="88" w:rightChars="42" w:firstLine="482"/>
        <w:rPr>
          <w:rFonts w:hint="eastAsia" w:cs="Arial" w:asciiTheme="minorEastAsia" w:hAnsiTheme="minorEastAsia"/>
          <w:sz w:val="24"/>
          <w:szCs w:val="24"/>
        </w:rPr>
      </w:pPr>
      <w:r>
        <w:rPr>
          <w:rFonts w:hint="eastAsia" w:cs="Arial" w:asciiTheme="minorEastAsia" w:hAnsiTheme="minorEastAsia"/>
          <w:sz w:val="24"/>
          <w:szCs w:val="24"/>
        </w:rPr>
        <w:t>用户还可设置规则生效范围以及是否对医生拦截等。</w:t>
      </w:r>
    </w:p>
    <w:p w14:paraId="62BA47A3">
      <w:pPr>
        <w:pStyle w:val="71"/>
        <w:numPr>
          <w:ilvl w:val="1"/>
          <w:numId w:val="27"/>
        </w:numPr>
        <w:spacing w:before="0" w:after="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规则复制功能</w:t>
      </w:r>
    </w:p>
    <w:p w14:paraId="1F5B2E14">
      <w:pPr>
        <w:spacing w:line="360" w:lineRule="auto"/>
        <w:ind w:right="88" w:rightChars="42" w:firstLine="480" w:firstLineChars="200"/>
        <w:rPr>
          <w:rFonts w:hint="eastAsia" w:cs="Arial" w:asciiTheme="minorEastAsia" w:hAnsiTheme="minorEastAsia"/>
          <w:bCs/>
          <w:kern w:val="0"/>
          <w:sz w:val="24"/>
          <w:szCs w:val="24"/>
        </w:rPr>
      </w:pPr>
      <w:r>
        <w:rPr>
          <w:rFonts w:hint="eastAsia" w:cs="Arial" w:asciiTheme="minorEastAsia" w:hAnsiTheme="minorEastAsia"/>
          <w:bCs/>
          <w:kern w:val="0"/>
          <w:sz w:val="24"/>
          <w:szCs w:val="24"/>
        </w:rPr>
        <w:t>用户可以按照模块进行自定义规则复制。用户可自由选择需要复制自定义规则的药品以及被复制对象来完成复制操作。</w:t>
      </w:r>
    </w:p>
    <w:p w14:paraId="08038465">
      <w:pPr>
        <w:pStyle w:val="71"/>
        <w:numPr>
          <w:ilvl w:val="1"/>
          <w:numId w:val="27"/>
        </w:numPr>
        <w:spacing w:before="0" w:after="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豁免对象设置功能</w:t>
      </w:r>
    </w:p>
    <w:p w14:paraId="09FAC2FA">
      <w:pPr>
        <w:spacing w:line="360" w:lineRule="auto"/>
        <w:ind w:right="88" w:rightChars="42" w:firstLine="480" w:firstLineChars="200"/>
        <w:rPr>
          <w:rFonts w:hint="eastAsia" w:cs="Arial" w:asciiTheme="minorEastAsia" w:hAnsiTheme="minorEastAsia"/>
          <w:bCs/>
          <w:kern w:val="0"/>
          <w:sz w:val="24"/>
          <w:szCs w:val="24"/>
        </w:rPr>
      </w:pPr>
      <w:r>
        <w:rPr>
          <w:rFonts w:hint="eastAsia" w:cs="Arial" w:asciiTheme="minorEastAsia" w:hAnsiTheme="minorEastAsia"/>
          <w:bCs/>
          <w:kern w:val="0"/>
          <w:sz w:val="24"/>
          <w:szCs w:val="24"/>
        </w:rPr>
        <w:t>用户可以根据科室、医生、药品的单一或组合条件设置豁免审查项目，豁免后医生端将不再出现符合豁免条件的警示结果。用户还可对所设置的豁免情况进行汇总查询。</w:t>
      </w:r>
    </w:p>
    <w:p w14:paraId="7416B1B5">
      <w:pPr>
        <w:pStyle w:val="71"/>
        <w:numPr>
          <w:ilvl w:val="1"/>
          <w:numId w:val="27"/>
        </w:numPr>
        <w:spacing w:before="0" w:after="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自定义规则查询</w:t>
      </w:r>
    </w:p>
    <w:p w14:paraId="25AC5222">
      <w:pPr>
        <w:spacing w:line="360" w:lineRule="auto"/>
        <w:ind w:right="88" w:rightChars="42" w:firstLine="480" w:firstLineChars="200"/>
        <w:rPr>
          <w:rFonts w:hint="eastAsia" w:cs="Arial" w:asciiTheme="minorEastAsia" w:hAnsiTheme="minorEastAsia"/>
          <w:bCs/>
          <w:kern w:val="0"/>
          <w:sz w:val="24"/>
          <w:szCs w:val="24"/>
        </w:rPr>
      </w:pPr>
      <w:r>
        <w:rPr>
          <w:rFonts w:hint="eastAsia" w:cs="Arial" w:asciiTheme="minorEastAsia" w:hAnsiTheme="minorEastAsia"/>
          <w:bCs/>
          <w:kern w:val="0"/>
          <w:sz w:val="24"/>
          <w:szCs w:val="24"/>
        </w:rPr>
        <w:t>用户可按照药品、科室、生效范围、审查模块查询自定义数据。</w:t>
      </w:r>
    </w:p>
    <w:p w14:paraId="5ED7B30C">
      <w:pPr>
        <w:pStyle w:val="71"/>
        <w:numPr>
          <w:ilvl w:val="1"/>
          <w:numId w:val="27"/>
        </w:numPr>
        <w:spacing w:before="0" w:after="0"/>
        <w:rPr>
          <w:rFonts w:hint="eastAsia" w:asciiTheme="minorEastAsia" w:hAnsiTheme="minorEastAsia" w:eastAsiaTheme="minorEastAsia"/>
          <w:sz w:val="24"/>
          <w:szCs w:val="24"/>
        </w:rPr>
      </w:pPr>
      <w:r>
        <w:rPr>
          <w:rFonts w:asciiTheme="minorEastAsia" w:hAnsiTheme="minorEastAsia" w:eastAsiaTheme="minorEastAsia"/>
          <w:sz w:val="24"/>
          <w:szCs w:val="24"/>
        </w:rPr>
        <w:t>自定义</w:t>
      </w:r>
      <w:r>
        <w:rPr>
          <w:rFonts w:hint="eastAsia" w:asciiTheme="minorEastAsia" w:hAnsiTheme="minorEastAsia" w:eastAsiaTheme="minorEastAsia"/>
          <w:sz w:val="24"/>
          <w:szCs w:val="24"/>
        </w:rPr>
        <w:t>工作量统计</w:t>
      </w:r>
      <w:r>
        <w:rPr>
          <w:rFonts w:asciiTheme="minorEastAsia" w:hAnsiTheme="minorEastAsia" w:eastAsiaTheme="minorEastAsia"/>
          <w:sz w:val="24"/>
          <w:szCs w:val="24"/>
        </w:rPr>
        <w:t>功能</w:t>
      </w:r>
    </w:p>
    <w:p w14:paraId="13FCC541">
      <w:pPr>
        <w:spacing w:line="360" w:lineRule="auto"/>
        <w:ind w:right="88" w:rightChars="42" w:firstLine="470" w:firstLineChars="196"/>
        <w:rPr>
          <w:rFonts w:hint="eastAsia" w:cs="Arial" w:asciiTheme="minorEastAsia" w:hAnsiTheme="minorEastAsia"/>
          <w:kern w:val="0"/>
          <w:sz w:val="24"/>
          <w:szCs w:val="24"/>
        </w:rPr>
      </w:pPr>
      <w:r>
        <w:rPr>
          <w:rFonts w:hint="eastAsia" w:cs="Arial" w:asciiTheme="minorEastAsia" w:hAnsiTheme="minorEastAsia"/>
          <w:bCs/>
          <w:kern w:val="0"/>
          <w:sz w:val="24"/>
          <w:szCs w:val="24"/>
        </w:rPr>
        <w:t>系统能够对知识库自定义工作量进行全面统计，</w:t>
      </w:r>
      <w:r>
        <w:rPr>
          <w:rFonts w:cs="Arial" w:asciiTheme="minorEastAsia" w:hAnsiTheme="minorEastAsia"/>
          <w:bCs/>
          <w:kern w:val="0"/>
          <w:sz w:val="24"/>
          <w:szCs w:val="24"/>
        </w:rPr>
        <w:t>系统能够生成统计报表，并提供导出（</w:t>
      </w:r>
      <w:r>
        <w:rPr>
          <w:rFonts w:hint="eastAsia" w:cs="Arial" w:asciiTheme="minorEastAsia" w:hAnsiTheme="minorEastAsia"/>
          <w:bCs/>
          <w:kern w:val="0"/>
          <w:sz w:val="24"/>
          <w:szCs w:val="24"/>
        </w:rPr>
        <w:t>EXCEL格式）</w:t>
      </w:r>
      <w:r>
        <w:rPr>
          <w:rFonts w:cs="Arial" w:asciiTheme="minorEastAsia" w:hAnsiTheme="minorEastAsia"/>
          <w:bCs/>
          <w:kern w:val="0"/>
          <w:sz w:val="24"/>
          <w:szCs w:val="24"/>
        </w:rPr>
        <w:t>功能</w:t>
      </w:r>
      <w:r>
        <w:rPr>
          <w:rFonts w:hint="eastAsia" w:cs="Arial" w:asciiTheme="minorEastAsia" w:hAnsiTheme="minorEastAsia"/>
          <w:bCs/>
          <w:kern w:val="0"/>
          <w:sz w:val="24"/>
          <w:szCs w:val="24"/>
        </w:rPr>
        <w:t>。</w:t>
      </w:r>
    </w:p>
    <w:p w14:paraId="3A897837">
      <w:pPr>
        <w:pStyle w:val="4"/>
        <w:numPr>
          <w:ilvl w:val="0"/>
          <w:numId w:val="14"/>
        </w:numPr>
        <w:spacing w:line="360" w:lineRule="auto"/>
        <w:rPr>
          <w:rFonts w:hint="eastAsia" w:asciiTheme="minorEastAsia" w:hAnsiTheme="minorEastAsia"/>
          <w:sz w:val="28"/>
          <w:szCs w:val="28"/>
        </w:rPr>
      </w:pPr>
      <w:r>
        <w:rPr>
          <w:rFonts w:hint="eastAsia" w:asciiTheme="minorEastAsia" w:hAnsiTheme="minorEastAsia"/>
          <w:sz w:val="28"/>
          <w:szCs w:val="28"/>
        </w:rPr>
        <w:t>区域药师审方中心</w:t>
      </w:r>
    </w:p>
    <w:p w14:paraId="42F49378">
      <w:pPr>
        <w:pStyle w:val="43"/>
        <w:numPr>
          <w:ilvl w:val="0"/>
          <w:numId w:val="31"/>
        </w:numPr>
        <w:tabs>
          <w:tab w:val="left" w:pos="567"/>
        </w:tabs>
        <w:spacing w:line="360" w:lineRule="auto"/>
        <w:ind w:hanging="556" w:firstLineChars="0"/>
        <w:rPr>
          <w:rFonts w:hint="eastAsia" w:asciiTheme="minorEastAsia" w:hAnsiTheme="minorEastAsia"/>
          <w:b/>
          <w:bCs/>
          <w:sz w:val="24"/>
          <w:szCs w:val="24"/>
        </w:rPr>
      </w:pPr>
      <w:r>
        <w:rPr>
          <w:rFonts w:hint="eastAsia" w:asciiTheme="minorEastAsia" w:hAnsiTheme="minorEastAsia"/>
          <w:b/>
          <w:bCs/>
          <w:sz w:val="24"/>
          <w:szCs w:val="24"/>
        </w:rPr>
        <w:t>区域审方</w:t>
      </w:r>
    </w:p>
    <w:p w14:paraId="3BCA4307">
      <w:pPr>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区域内的牵头医院可建立审方中心，系统为药师提供审方工作平台，药师可对各医院的处方/医嘱进行集中审方，实现问题处方/医嘱的实时审核和干预。</w:t>
      </w:r>
    </w:p>
    <w:p w14:paraId="597A349D">
      <w:pPr>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药师在审方时可查阅到当前患者在本区域内其他医院开具的处方，也可查看上级医院或区域内高职称药师对当前不合理用药行为的审方处置意见和指导建议，帮助药师更快更高质量完成审方。</w:t>
      </w:r>
    </w:p>
    <w:p w14:paraId="40415968">
      <w:pPr>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审方中心的管理人员可对区域内药师的审方结果统一进行质量评价、差异性分析，并可对区域内不同医院的审方情况进行合并统计，也可按医院分别统计，并对比各医院审方情况。</w:t>
      </w:r>
    </w:p>
    <w:p w14:paraId="54927306">
      <w:pPr>
        <w:pStyle w:val="43"/>
        <w:numPr>
          <w:ilvl w:val="1"/>
          <w:numId w:val="15"/>
        </w:numPr>
        <w:spacing w:line="360" w:lineRule="auto"/>
        <w:ind w:left="568" w:hanging="284" w:firstLineChars="0"/>
        <w:rPr>
          <w:rFonts w:hint="eastAsia" w:asciiTheme="minorEastAsia" w:hAnsiTheme="minorEastAsia"/>
          <w:b/>
          <w:bCs/>
          <w:sz w:val="24"/>
          <w:szCs w:val="24"/>
        </w:rPr>
      </w:pPr>
      <w:r>
        <w:rPr>
          <w:rFonts w:asciiTheme="minorEastAsia" w:hAnsiTheme="minorEastAsia"/>
          <w:b/>
          <w:bCs/>
          <w:sz w:val="24"/>
          <w:szCs w:val="24"/>
        </w:rPr>
        <w:t>功能说明</w:t>
      </w:r>
    </w:p>
    <w:p w14:paraId="05683B3B">
      <w:pPr>
        <w:pStyle w:val="43"/>
        <w:numPr>
          <w:ilvl w:val="0"/>
          <w:numId w:val="32"/>
        </w:numPr>
        <w:spacing w:line="360" w:lineRule="auto"/>
        <w:ind w:firstLineChars="0"/>
        <w:rPr>
          <w:rFonts w:hint="eastAsia" w:asciiTheme="minorEastAsia" w:hAnsiTheme="minorEastAsia"/>
          <w:b/>
          <w:sz w:val="24"/>
          <w:szCs w:val="24"/>
        </w:rPr>
      </w:pPr>
      <w:bookmarkStart w:id="48" w:name="_Toc472602417"/>
      <w:bookmarkStart w:id="49" w:name="_Toc454839190"/>
      <w:bookmarkStart w:id="50" w:name="_Toc454444078"/>
      <w:r>
        <w:rPr>
          <w:rFonts w:hint="eastAsia" w:asciiTheme="minorEastAsia" w:hAnsiTheme="minorEastAsia"/>
          <w:b/>
          <w:bCs/>
          <w:sz w:val="24"/>
          <w:szCs w:val="24"/>
        </w:rPr>
        <w:t>药师审方干预功能</w:t>
      </w:r>
      <w:bookmarkEnd w:id="48"/>
      <w:bookmarkEnd w:id="49"/>
      <w:bookmarkEnd w:id="50"/>
    </w:p>
    <w:p w14:paraId="2526AA05">
      <w:pPr>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系统可以在医生开具药物处方（医嘱）后，立即自动审查出存在不合理用药问题的处方（医嘱），医生自查后可返回修改或提请药师审核，由药师对处方（医嘱）进行人工复核。审查过程中，药师可就处方（医嘱）的用药问题与开嘱医生实时互动沟通，直到处方（医嘱）通过审查，进入处方（医嘱）管理流程的下一环节，实现药师审方干预效果。</w:t>
      </w:r>
    </w:p>
    <w:p w14:paraId="575545C6">
      <w:pPr>
        <w:pStyle w:val="69"/>
        <w:numPr>
          <w:ilvl w:val="1"/>
          <w:numId w:val="33"/>
        </w:numPr>
        <w:spacing w:before="0" w:after="0"/>
        <w:ind w:left="993" w:hanging="567"/>
        <w:rPr>
          <w:rFonts w:hint="eastAsia" w:asciiTheme="minorEastAsia" w:hAnsiTheme="minorEastAsia" w:eastAsiaTheme="minorEastAsia"/>
          <w:sz w:val="24"/>
          <w:szCs w:val="24"/>
        </w:rPr>
      </w:pPr>
      <w:r>
        <w:rPr>
          <w:rFonts w:hint="eastAsia" w:asciiTheme="minorEastAsia" w:hAnsiTheme="minorEastAsia" w:eastAsiaTheme="minorEastAsia"/>
          <w:sz w:val="24"/>
          <w:szCs w:val="24"/>
        </w:rPr>
        <w:t>系统审查</w:t>
      </w:r>
    </w:p>
    <w:p w14:paraId="7D62B376">
      <w:pPr>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系统在处方（医嘱）药品输入完毕后，立即对处方（医嘱）中可能存在的药物相互作用、药物过敏、注射液体外配伍、剂量范围、药物禁忌、不良反应、重复用药、给药途径和特殊人群用药等潜在不合理用药问题进行自动、实时的审查，医生自查后可选择返回修改或者填写用药理由后提交药师审核。系统审查通过的处方（医嘱）则进入医院处方（医嘱）管理流程的下一环节，无需药师进行人工审查。</w:t>
      </w:r>
    </w:p>
    <w:p w14:paraId="4E8BC3B5">
      <w:pPr>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系统审查项目与区域合理用药审查相同。</w:t>
      </w:r>
    </w:p>
    <w:p w14:paraId="62DFCABF">
      <w:pPr>
        <w:pStyle w:val="69"/>
        <w:numPr>
          <w:ilvl w:val="1"/>
          <w:numId w:val="33"/>
        </w:numPr>
        <w:spacing w:before="0" w:after="0"/>
        <w:ind w:left="993" w:hanging="567"/>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人工审查</w:t>
      </w:r>
    </w:p>
    <w:p w14:paraId="3E71F2FA">
      <w:pPr>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系统通过屏幕弹窗、声音，提示药师有待审查新处方（医嘱）或已修改处方（医嘱）。药师在审方界面可以看到待审查处方（医嘱）的详细信息。</w:t>
      </w:r>
    </w:p>
    <w:p w14:paraId="348348BF">
      <w:pPr>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门（急）诊处方审方界面：可查看病人标记（特殊病人、门/急诊病人）和处方信息标记（慢病处方、皮试阳性结果处方），查看患者检验检查信息、患者过敏史、抗菌药物用药评估单，其中检验结果异常项目可单独显示。可链接医院EMR系统查看患者详细信息。</w:t>
      </w:r>
    </w:p>
    <w:p w14:paraId="2B8A9EC1">
      <w:pPr>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住院医嘱审方界面：除了医嘱信息外还可以查看病人其它相关管理信息。这些相关信息主要包括：</w:t>
      </w:r>
    </w:p>
    <w:p w14:paraId="7FF92402">
      <w:pPr>
        <w:pStyle w:val="43"/>
        <w:numPr>
          <w:ilvl w:val="0"/>
          <w:numId w:val="34"/>
        </w:numPr>
        <w:spacing w:line="360" w:lineRule="auto"/>
        <w:ind w:right="-57" w:rightChars="-27" w:firstLineChars="0"/>
        <w:rPr>
          <w:rFonts w:hint="eastAsia" w:cs="Arial" w:asciiTheme="minorEastAsia" w:hAnsiTheme="minorEastAsia"/>
          <w:sz w:val="24"/>
          <w:szCs w:val="24"/>
        </w:rPr>
      </w:pPr>
      <w:r>
        <w:rPr>
          <w:rFonts w:hint="eastAsia" w:cs="Arial" w:asciiTheme="minorEastAsia" w:hAnsiTheme="minorEastAsia"/>
          <w:sz w:val="24"/>
          <w:szCs w:val="24"/>
        </w:rPr>
        <w:t>手术信息：包括手术名称、切口类型等信息；</w:t>
      </w:r>
    </w:p>
    <w:p w14:paraId="13E74F06">
      <w:pPr>
        <w:pStyle w:val="43"/>
        <w:numPr>
          <w:ilvl w:val="0"/>
          <w:numId w:val="34"/>
        </w:numPr>
        <w:spacing w:line="360" w:lineRule="auto"/>
        <w:ind w:right="-57" w:rightChars="-27" w:firstLineChars="0"/>
        <w:rPr>
          <w:rFonts w:hint="eastAsia" w:cs="Arial" w:asciiTheme="minorEastAsia" w:hAnsiTheme="minorEastAsia"/>
          <w:sz w:val="24"/>
          <w:szCs w:val="24"/>
        </w:rPr>
      </w:pPr>
      <w:bookmarkStart w:id="51" w:name="_Hlk107846891"/>
      <w:r>
        <w:rPr>
          <w:rFonts w:hint="eastAsia" w:cs="Arial" w:asciiTheme="minorEastAsia" w:hAnsiTheme="minorEastAsia"/>
          <w:sz w:val="24"/>
          <w:szCs w:val="24"/>
        </w:rPr>
        <w:t>可链接医院EMR系统查看患者详细信息</w:t>
      </w:r>
      <w:bookmarkEnd w:id="51"/>
      <w:r>
        <w:rPr>
          <w:rFonts w:hint="eastAsia" w:cs="Arial" w:asciiTheme="minorEastAsia" w:hAnsiTheme="minorEastAsia"/>
          <w:sz w:val="24"/>
          <w:szCs w:val="24"/>
        </w:rPr>
        <w:t>。</w:t>
      </w:r>
    </w:p>
    <w:p w14:paraId="2BCF5B0B">
      <w:pPr>
        <w:pStyle w:val="43"/>
        <w:numPr>
          <w:ilvl w:val="0"/>
          <w:numId w:val="34"/>
        </w:numPr>
        <w:spacing w:line="360" w:lineRule="auto"/>
        <w:ind w:right="-57" w:rightChars="-27" w:firstLineChars="0"/>
        <w:rPr>
          <w:rFonts w:hint="eastAsia" w:cs="Arial" w:asciiTheme="minorEastAsia" w:hAnsiTheme="minorEastAsia"/>
          <w:sz w:val="24"/>
          <w:szCs w:val="24"/>
        </w:rPr>
      </w:pPr>
      <w:r>
        <w:rPr>
          <w:rFonts w:hint="eastAsia" w:cs="Arial" w:asciiTheme="minorEastAsia" w:hAnsiTheme="minorEastAsia"/>
          <w:sz w:val="24"/>
          <w:szCs w:val="24"/>
        </w:rPr>
        <w:t>患者检验检查信息，可单独显示检验结果异常项目，可查看住院患者检验指标变化趋势图。</w:t>
      </w:r>
    </w:p>
    <w:p w14:paraId="4CE481DF">
      <w:pPr>
        <w:pStyle w:val="43"/>
        <w:numPr>
          <w:ilvl w:val="0"/>
          <w:numId w:val="34"/>
        </w:numPr>
        <w:spacing w:line="360" w:lineRule="auto"/>
        <w:ind w:right="-57" w:rightChars="-27" w:firstLineChars="0"/>
        <w:rPr>
          <w:rFonts w:hint="eastAsia" w:cs="Arial" w:asciiTheme="minorEastAsia" w:hAnsiTheme="minorEastAsia"/>
          <w:sz w:val="24"/>
          <w:szCs w:val="24"/>
        </w:rPr>
      </w:pPr>
      <w:r>
        <w:rPr>
          <w:rFonts w:hint="eastAsia" w:cs="Arial" w:asciiTheme="minorEastAsia" w:hAnsiTheme="minorEastAsia"/>
          <w:sz w:val="24"/>
          <w:szCs w:val="24"/>
        </w:rPr>
        <w:t>会诊信息</w:t>
      </w:r>
    </w:p>
    <w:p w14:paraId="75572FC9">
      <w:pPr>
        <w:pStyle w:val="43"/>
        <w:numPr>
          <w:ilvl w:val="0"/>
          <w:numId w:val="34"/>
        </w:numPr>
        <w:spacing w:line="360" w:lineRule="auto"/>
        <w:ind w:right="-57" w:rightChars="-27" w:firstLineChars="0"/>
        <w:rPr>
          <w:rFonts w:hint="eastAsia" w:cs="Arial" w:asciiTheme="minorEastAsia" w:hAnsiTheme="minorEastAsia"/>
          <w:sz w:val="24"/>
          <w:szCs w:val="24"/>
        </w:rPr>
      </w:pPr>
      <w:r>
        <w:rPr>
          <w:rFonts w:hint="eastAsia" w:cs="Arial" w:asciiTheme="minorEastAsia" w:hAnsiTheme="minorEastAsia"/>
          <w:sz w:val="24"/>
          <w:szCs w:val="24"/>
        </w:rPr>
        <w:t>抗菌药物用药评估单</w:t>
      </w:r>
    </w:p>
    <w:p w14:paraId="2CD121D0">
      <w:pPr>
        <w:pStyle w:val="43"/>
        <w:numPr>
          <w:ilvl w:val="0"/>
          <w:numId w:val="34"/>
        </w:numPr>
        <w:spacing w:line="360" w:lineRule="auto"/>
        <w:ind w:right="-57" w:rightChars="-27" w:firstLineChars="0"/>
        <w:rPr>
          <w:rFonts w:hint="eastAsia" w:cs="Arial" w:asciiTheme="minorEastAsia" w:hAnsiTheme="minorEastAsia"/>
          <w:sz w:val="24"/>
          <w:szCs w:val="24"/>
        </w:rPr>
      </w:pPr>
      <w:r>
        <w:rPr>
          <w:rFonts w:hint="eastAsia" w:cs="Arial" w:asciiTheme="minorEastAsia" w:hAnsiTheme="minorEastAsia"/>
          <w:sz w:val="24"/>
          <w:szCs w:val="24"/>
        </w:rPr>
        <w:t>慢病处方标记、皮试阳性结果标记</w:t>
      </w:r>
    </w:p>
    <w:p w14:paraId="6E0B02B3">
      <w:pPr>
        <w:pStyle w:val="43"/>
        <w:numPr>
          <w:ilvl w:val="0"/>
          <w:numId w:val="34"/>
        </w:numPr>
        <w:spacing w:line="360" w:lineRule="auto"/>
        <w:ind w:right="214" w:rightChars="102" w:firstLineChars="0"/>
        <w:rPr>
          <w:rFonts w:hint="eastAsia" w:cs="Arial" w:asciiTheme="minorEastAsia" w:hAnsiTheme="minorEastAsia"/>
          <w:sz w:val="24"/>
          <w:szCs w:val="24"/>
        </w:rPr>
      </w:pPr>
      <w:r>
        <w:rPr>
          <w:rFonts w:hint="eastAsia" w:cs="Arial" w:asciiTheme="minorEastAsia" w:hAnsiTheme="minorEastAsia"/>
          <w:sz w:val="24"/>
          <w:szCs w:val="24"/>
        </w:rPr>
        <w:t>T</w:t>
      </w:r>
      <w:r>
        <w:rPr>
          <w:rFonts w:cs="Arial" w:asciiTheme="minorEastAsia" w:hAnsiTheme="minorEastAsia"/>
          <w:sz w:val="24"/>
          <w:szCs w:val="24"/>
        </w:rPr>
        <w:t>PN</w:t>
      </w:r>
      <w:r>
        <w:rPr>
          <w:rFonts w:hint="eastAsia" w:cs="Arial" w:asciiTheme="minorEastAsia" w:hAnsiTheme="minorEastAsia"/>
          <w:sz w:val="24"/>
          <w:szCs w:val="24"/>
        </w:rPr>
        <w:t>分析</w:t>
      </w:r>
    </w:p>
    <w:p w14:paraId="37737A93">
      <w:pPr>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除了待审查处方（医嘱）的详细信息，还支持比对不同版本处方内容、患者其他处方信息，作为人工审查的参考。</w:t>
      </w:r>
    </w:p>
    <w:p w14:paraId="64322275">
      <w:pPr>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药师人工审查时，医生端将自动弹出等待窗口，提示医生需要等待药师审核。医生等待窗口将显示审方药师和药剂科的联系电话，并可查看审方倒计时。等待期间医生不可进行其他操作，药师审方结束后将在医生端自动弹窗，提示药师审查结果，医生可根据审查结果进行下一步操作。</w:t>
      </w:r>
    </w:p>
    <w:p w14:paraId="7260C029">
      <w:pPr>
        <w:pStyle w:val="69"/>
        <w:numPr>
          <w:ilvl w:val="1"/>
          <w:numId w:val="33"/>
        </w:numPr>
        <w:spacing w:before="0" w:after="0"/>
        <w:ind w:left="993" w:hanging="567"/>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药师审查干预（药师医生实时互动）</w:t>
      </w:r>
    </w:p>
    <w:p w14:paraId="04B8E70D">
      <w:pPr>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对于药师人工审查不通过的处方（医嘱），药师可以通过系统提供的通信平台与医生进行实时互动沟通。药师可以选择系统不合理用药问题或预设的问题模板，并在此基础上编辑不通过理由发送给开嘱医生，医生修改处方（医嘱）信息后或医生填写理由双签后，处方（医嘱）重新进入系统审查（双签无该步骤）-人工审查-修改处方（医嘱）环节，直至处方（医嘱）审查通过。对于绝对不可出现的用药问题，药师可选择“必须修改”，要求医生必须修改，否则拒绝发药。药师在人工审查界面可以查看当前已修改处方（医嘱）的各个历史提交版本详细信息、不通过理由（状态记录）和干预记录等。</w:t>
      </w:r>
    </w:p>
    <w:p w14:paraId="44847E77">
      <w:pPr>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为了避免门（急）诊患者等待时间过长，门（急）诊处方审查药师还可以根据具体情况决定是否赋予医生双签通过权限。</w:t>
      </w:r>
    </w:p>
    <w:p w14:paraId="29F48388">
      <w:pPr>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药师可在审方界面实时查看当天已通过处方（医嘱）的详细信息。</w:t>
      </w:r>
    </w:p>
    <w:p w14:paraId="2466CC41">
      <w:pPr>
        <w:pStyle w:val="69"/>
        <w:numPr>
          <w:ilvl w:val="1"/>
          <w:numId w:val="33"/>
        </w:numPr>
        <w:spacing w:before="0" w:after="0"/>
        <w:ind w:left="993" w:hanging="567"/>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处方（医嘱）状态记录</w:t>
      </w:r>
    </w:p>
    <w:p w14:paraId="16B696E8">
      <w:pPr>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处方（医嘱）最终通过审查的情况有很多种，为了区分这些不同情况下通过的处方（医嘱），以及记录通过处方（医嘱）的每个修改版本的情况，系统给这些处方（医嘱）会添加不同的状态标记。</w:t>
      </w:r>
    </w:p>
    <w:p w14:paraId="75C80C15">
      <w:pPr>
        <w:pStyle w:val="69"/>
        <w:numPr>
          <w:ilvl w:val="1"/>
          <w:numId w:val="33"/>
        </w:numPr>
        <w:spacing w:before="0" w:after="0"/>
        <w:ind w:left="993" w:hanging="567"/>
        <w:rPr>
          <w:rFonts w:hint="eastAsia" w:asciiTheme="minorEastAsia" w:hAnsiTheme="minorEastAsia" w:eastAsiaTheme="minorEastAsia"/>
          <w:sz w:val="24"/>
          <w:szCs w:val="24"/>
        </w:rPr>
      </w:pPr>
      <w:r>
        <w:rPr>
          <w:rFonts w:hint="eastAsia" w:asciiTheme="minorEastAsia" w:hAnsiTheme="minorEastAsia" w:eastAsiaTheme="minorEastAsia"/>
          <w:sz w:val="24"/>
          <w:szCs w:val="24"/>
        </w:rPr>
        <w:t>离开模式</w:t>
      </w:r>
    </w:p>
    <w:p w14:paraId="16847E9D">
      <w:pPr>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若药师临时有其它事务需要处理，可以在审方界面选择离开，若有审查中处方（医嘱），系统会提示药师。启动了离开模式后，系统会自动将新任务分配给其它药师。</w:t>
      </w:r>
    </w:p>
    <w:p w14:paraId="73F9FF9C">
      <w:pPr>
        <w:pStyle w:val="69"/>
        <w:numPr>
          <w:ilvl w:val="1"/>
          <w:numId w:val="33"/>
        </w:numPr>
        <w:spacing w:before="0" w:after="0"/>
        <w:ind w:left="993" w:hanging="567"/>
        <w:rPr>
          <w:rFonts w:hint="eastAsia" w:asciiTheme="minorEastAsia" w:hAnsiTheme="minorEastAsia" w:eastAsiaTheme="minorEastAsia"/>
          <w:sz w:val="24"/>
          <w:szCs w:val="24"/>
        </w:rPr>
      </w:pPr>
      <w:r>
        <w:rPr>
          <w:rFonts w:asciiTheme="minorEastAsia" w:hAnsiTheme="minorEastAsia" w:eastAsiaTheme="minorEastAsia"/>
          <w:sz w:val="24"/>
          <w:szCs w:val="24"/>
        </w:rPr>
        <w:t>中药方剂</w:t>
      </w:r>
      <w:r>
        <w:rPr>
          <w:rFonts w:hint="eastAsia" w:asciiTheme="minorEastAsia" w:hAnsiTheme="minorEastAsia" w:eastAsiaTheme="minorEastAsia"/>
          <w:sz w:val="24"/>
          <w:szCs w:val="24"/>
        </w:rPr>
        <w:t>智能查询</w:t>
      </w:r>
    </w:p>
    <w:p w14:paraId="58CFF4D0">
      <w:pPr>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药师在查看中药处方时，可通过方剂查询入口，进行经典中药方剂的智能匹配查询。</w:t>
      </w:r>
    </w:p>
    <w:p w14:paraId="3CEFB431">
      <w:pPr>
        <w:pStyle w:val="43"/>
        <w:numPr>
          <w:ilvl w:val="0"/>
          <w:numId w:val="32"/>
        </w:numPr>
        <w:spacing w:line="360" w:lineRule="auto"/>
        <w:ind w:firstLineChars="0"/>
        <w:rPr>
          <w:rFonts w:hint="eastAsia" w:asciiTheme="minorEastAsia" w:hAnsiTheme="minorEastAsia"/>
          <w:b/>
          <w:bCs/>
          <w:sz w:val="24"/>
          <w:szCs w:val="24"/>
        </w:rPr>
      </w:pPr>
      <w:bookmarkStart w:id="52" w:name="_Toc472602418"/>
      <w:r>
        <w:rPr>
          <w:rFonts w:hint="eastAsia" w:asciiTheme="minorEastAsia" w:hAnsiTheme="minorEastAsia"/>
          <w:b/>
          <w:bCs/>
          <w:sz w:val="24"/>
          <w:szCs w:val="24"/>
        </w:rPr>
        <w:t>审方干预自定义</w:t>
      </w:r>
      <w:bookmarkEnd w:id="52"/>
    </w:p>
    <w:p w14:paraId="52E09377">
      <w:pPr>
        <w:spacing w:line="360" w:lineRule="auto"/>
        <w:ind w:firstLine="480" w:firstLineChars="200"/>
        <w:rPr>
          <w:rFonts w:hint="eastAsia" w:asciiTheme="minorEastAsia" w:hAnsiTheme="minorEastAsia"/>
          <w:sz w:val="24"/>
          <w:szCs w:val="24"/>
        </w:rPr>
      </w:pPr>
      <w:r>
        <w:rPr>
          <w:rFonts w:asciiTheme="minorEastAsia" w:hAnsiTheme="minorEastAsia"/>
          <w:sz w:val="24"/>
          <w:szCs w:val="24"/>
        </w:rPr>
        <w:t>为了用户可以根据临床实际情况或医院管理规定</w:t>
      </w:r>
      <w:r>
        <w:rPr>
          <w:rFonts w:hint="eastAsia" w:asciiTheme="minorEastAsia" w:hAnsiTheme="minorEastAsia"/>
          <w:sz w:val="24"/>
          <w:szCs w:val="24"/>
        </w:rPr>
        <w:t>需要，系统为用户提供了灵活的药师审方干预自定义功能。</w:t>
      </w:r>
    </w:p>
    <w:p w14:paraId="0C862A01">
      <w:pPr>
        <w:pStyle w:val="69"/>
        <w:numPr>
          <w:ilvl w:val="1"/>
          <w:numId w:val="35"/>
        </w:numPr>
        <w:spacing w:before="0" w:after="0"/>
        <w:rPr>
          <w:rFonts w:hint="eastAsia" w:asciiTheme="minorEastAsia" w:hAnsiTheme="minorEastAsia" w:eastAsiaTheme="minorEastAsia"/>
          <w:bCs/>
          <w:sz w:val="24"/>
          <w:szCs w:val="24"/>
        </w:rPr>
      </w:pPr>
      <w:r>
        <w:rPr>
          <w:rFonts w:hint="eastAsia" w:asciiTheme="minorEastAsia" w:hAnsiTheme="minorEastAsia" w:eastAsiaTheme="minorEastAsia"/>
          <w:sz w:val="24"/>
          <w:szCs w:val="24"/>
        </w:rPr>
        <w:t>超时设置</w:t>
      </w:r>
    </w:p>
    <w:p w14:paraId="12061FD0">
      <w:pPr>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为了避免患者等待时间过长，用户可以设置药师人工审查时限，药师审方一旦超过规定时限，待审查处方（医嘱）自动通过。可分科室设置超时时间。</w:t>
      </w:r>
    </w:p>
    <w:p w14:paraId="0FFF31ED">
      <w:pPr>
        <w:pStyle w:val="69"/>
        <w:numPr>
          <w:ilvl w:val="1"/>
          <w:numId w:val="35"/>
        </w:numPr>
        <w:spacing w:before="0" w:after="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人工干预开关</w:t>
      </w:r>
    </w:p>
    <w:p w14:paraId="4C2B0FE3">
      <w:pPr>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非药师审方工作时间，可将系统关闭，关闭时若有未处理任务，系统会提示用户，用户确认后，未处理的任务全部自动通过。系统关闭期间传送到系统的处方（医嘱）自动通过并进行记录，不影响处方（医嘱）的下一环节的执行。</w:t>
      </w:r>
    </w:p>
    <w:p w14:paraId="2B0D598C">
      <w:pPr>
        <w:pStyle w:val="69"/>
        <w:numPr>
          <w:ilvl w:val="1"/>
          <w:numId w:val="35"/>
        </w:numPr>
        <w:spacing w:before="0" w:after="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重点关注</w:t>
      </w:r>
    </w:p>
    <w:p w14:paraId="3A3120C8">
      <w:pPr>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可将任意科室、医生、患者、疾病、药品设置为重点关注，可按科室、医生、患者、疾病、药品、问题类型、警示级别多条件组合设置重点关注，组合设置还可选择不同的逻辑关系，包含重点关注信息的处方即使系统审查通过也仍交由药师进行全面审查。</w:t>
      </w:r>
    </w:p>
    <w:p w14:paraId="09C37918">
      <w:pPr>
        <w:pStyle w:val="69"/>
        <w:numPr>
          <w:ilvl w:val="1"/>
          <w:numId w:val="35"/>
        </w:numPr>
        <w:spacing w:before="0" w:after="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双签模式</w:t>
      </w:r>
    </w:p>
    <w:p w14:paraId="2B09386E">
      <w:pPr>
        <w:autoSpaceDE w:val="0"/>
        <w:autoSpaceDN w:val="0"/>
        <w:adjustRightInd w:val="0"/>
        <w:spacing w:line="360" w:lineRule="auto"/>
        <w:ind w:right="-57" w:rightChars="-27" w:firstLine="480" w:firstLineChars="200"/>
        <w:rPr>
          <w:rFonts w:hint="eastAsia" w:cs="Arial" w:asciiTheme="minorEastAsia" w:hAnsiTheme="minorEastAsia"/>
          <w:sz w:val="24"/>
          <w:szCs w:val="24"/>
        </w:rPr>
      </w:pPr>
      <w:r>
        <w:rPr>
          <w:rFonts w:hint="eastAsia" w:cs="Arial" w:asciiTheme="minorEastAsia" w:hAnsiTheme="minorEastAsia"/>
          <w:sz w:val="24"/>
          <w:szCs w:val="24"/>
        </w:rPr>
        <w:t>系统设置中，用户可根据实际情况对药师医生双签通过模式进行设置，包括双签通过模式、双签复核模式、药师审核时选择模式。</w:t>
      </w:r>
    </w:p>
    <w:p w14:paraId="1BC69BF8">
      <w:pPr>
        <w:pStyle w:val="69"/>
        <w:numPr>
          <w:ilvl w:val="1"/>
          <w:numId w:val="35"/>
        </w:numPr>
        <w:spacing w:before="0" w:after="0"/>
        <w:ind w:right="-57" w:rightChars="-27"/>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自动干预模式</w:t>
      </w:r>
    </w:p>
    <w:p w14:paraId="2D5A41ED">
      <w:pPr>
        <w:autoSpaceDE w:val="0"/>
        <w:autoSpaceDN w:val="0"/>
        <w:adjustRightInd w:val="0"/>
        <w:spacing w:line="360" w:lineRule="auto"/>
        <w:ind w:right="-57" w:rightChars="-27" w:firstLine="480" w:firstLineChars="200"/>
        <w:rPr>
          <w:rFonts w:hint="eastAsia" w:cs="Arial" w:asciiTheme="minorEastAsia" w:hAnsiTheme="minorEastAsia"/>
          <w:sz w:val="24"/>
          <w:szCs w:val="24"/>
        </w:rPr>
      </w:pPr>
      <w:r>
        <w:rPr>
          <w:rFonts w:hint="eastAsia" w:cs="Arial" w:asciiTheme="minorEastAsia" w:hAnsiTheme="minorEastAsia"/>
          <w:sz w:val="24"/>
          <w:szCs w:val="24"/>
        </w:rPr>
        <w:t>在所有药师都下班后，无药师审核处方的情况下，若医生端有问题处方，系统会要求医生填写用药理由，处方（医嘱）才可通过进入下一环节。用户可设置医生填写用药理由的模式，对药师干预的问题任选一个填写理由即可通过，还是所有问题均需填写理由。自动干预模式只对监管科室生效，可设置所有监管科室生效或部分监管科室生效。</w:t>
      </w:r>
    </w:p>
    <w:p w14:paraId="7A9FE9DA">
      <w:pPr>
        <w:pStyle w:val="69"/>
        <w:numPr>
          <w:ilvl w:val="1"/>
          <w:numId w:val="35"/>
        </w:numPr>
        <w:spacing w:before="0" w:after="0"/>
        <w:ind w:right="-57" w:rightChars="-27"/>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问题模板设置</w:t>
      </w:r>
    </w:p>
    <w:p w14:paraId="63DB3858">
      <w:pPr>
        <w:autoSpaceDE w:val="0"/>
        <w:autoSpaceDN w:val="0"/>
        <w:adjustRightInd w:val="0"/>
        <w:spacing w:line="360" w:lineRule="auto"/>
        <w:ind w:right="-57" w:rightChars="-27" w:firstLine="480" w:firstLineChars="200"/>
        <w:rPr>
          <w:rFonts w:hint="eastAsia" w:cs="Arial" w:asciiTheme="minorEastAsia" w:hAnsiTheme="minorEastAsia"/>
          <w:sz w:val="24"/>
          <w:szCs w:val="24"/>
        </w:rPr>
      </w:pPr>
      <w:r>
        <w:rPr>
          <w:rFonts w:hint="eastAsia" w:cs="Arial" w:asciiTheme="minorEastAsia" w:hAnsiTheme="minorEastAsia"/>
          <w:sz w:val="24"/>
          <w:szCs w:val="24"/>
        </w:rPr>
        <w:t>用户可预设问题模板，当药师反馈审核意见给医生时可快捷选择，节省时间。</w:t>
      </w:r>
    </w:p>
    <w:p w14:paraId="6C0D7463">
      <w:pPr>
        <w:pStyle w:val="69"/>
        <w:numPr>
          <w:ilvl w:val="1"/>
          <w:numId w:val="35"/>
        </w:numPr>
        <w:spacing w:before="0" w:after="0"/>
        <w:ind w:right="-57" w:rightChars="-27"/>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问题过滤</w:t>
      </w:r>
    </w:p>
    <w:p w14:paraId="5B36F3CC">
      <w:pPr>
        <w:autoSpaceDE w:val="0"/>
        <w:autoSpaceDN w:val="0"/>
        <w:adjustRightInd w:val="0"/>
        <w:spacing w:line="360" w:lineRule="auto"/>
        <w:ind w:right="-57" w:rightChars="-27" w:firstLine="480" w:firstLineChars="200"/>
        <w:rPr>
          <w:rFonts w:hint="eastAsia" w:cs="Arial" w:asciiTheme="minorEastAsia" w:hAnsiTheme="minorEastAsia"/>
          <w:sz w:val="24"/>
          <w:szCs w:val="24"/>
        </w:rPr>
      </w:pPr>
      <w:r>
        <w:rPr>
          <w:rFonts w:hint="eastAsia" w:cs="Arial" w:asciiTheme="minorEastAsia" w:hAnsiTheme="minorEastAsia"/>
          <w:sz w:val="24"/>
          <w:szCs w:val="24"/>
        </w:rPr>
        <w:t>用户开启问题过滤后，同一病人当次就诊，若发生了相同的不合理用药问题，则只警示一次。</w:t>
      </w:r>
    </w:p>
    <w:p w14:paraId="6633C06F">
      <w:pPr>
        <w:pStyle w:val="69"/>
        <w:numPr>
          <w:ilvl w:val="1"/>
          <w:numId w:val="35"/>
        </w:numPr>
        <w:spacing w:before="0" w:after="0"/>
        <w:ind w:right="-57" w:rightChars="-27"/>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自动获取任务设置</w:t>
      </w:r>
    </w:p>
    <w:p w14:paraId="6A6A4EAB">
      <w:pPr>
        <w:autoSpaceDE w:val="0"/>
        <w:autoSpaceDN w:val="0"/>
        <w:adjustRightInd w:val="0"/>
        <w:spacing w:line="360" w:lineRule="auto"/>
        <w:ind w:right="-57" w:rightChars="-27" w:firstLine="480" w:firstLineChars="200"/>
        <w:rPr>
          <w:rFonts w:hint="eastAsia" w:cs="Arial" w:asciiTheme="minorEastAsia" w:hAnsiTheme="minorEastAsia"/>
          <w:sz w:val="24"/>
          <w:szCs w:val="24"/>
        </w:rPr>
      </w:pPr>
      <w:r>
        <w:rPr>
          <w:rFonts w:hint="eastAsia" w:cs="Arial" w:asciiTheme="minorEastAsia" w:hAnsiTheme="minorEastAsia"/>
          <w:sz w:val="24"/>
          <w:szCs w:val="24"/>
        </w:rPr>
        <w:t>用户开启自动获取任务模式，新任务或待确认任务来临后将自动进入药师处置列表，且弹框提示药师处置任务。未开启自动获取任务模式时，需药师手动点击“新任务”或“待确认”的标签来获取任务。</w:t>
      </w:r>
    </w:p>
    <w:p w14:paraId="0B58E8FD">
      <w:pPr>
        <w:pStyle w:val="69"/>
        <w:numPr>
          <w:ilvl w:val="1"/>
          <w:numId w:val="35"/>
        </w:numPr>
        <w:spacing w:before="0" w:after="0"/>
        <w:ind w:right="-57" w:rightChars="-27"/>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弹窗提示设置</w:t>
      </w:r>
    </w:p>
    <w:p w14:paraId="6CEEF6D7">
      <w:pPr>
        <w:autoSpaceDE w:val="0"/>
        <w:autoSpaceDN w:val="0"/>
        <w:adjustRightInd w:val="0"/>
        <w:spacing w:line="360" w:lineRule="auto"/>
        <w:ind w:right="-57" w:rightChars="-27" w:firstLine="480" w:firstLineChars="200"/>
        <w:rPr>
          <w:rFonts w:hint="eastAsia" w:cs="Arial" w:asciiTheme="minorEastAsia" w:hAnsiTheme="minorEastAsia"/>
          <w:sz w:val="24"/>
          <w:szCs w:val="24"/>
        </w:rPr>
      </w:pPr>
      <w:r>
        <w:rPr>
          <w:rFonts w:hint="eastAsia" w:cs="Arial" w:asciiTheme="minorEastAsia" w:hAnsiTheme="minorEastAsia"/>
          <w:sz w:val="24"/>
          <w:szCs w:val="24"/>
        </w:rPr>
        <w:t>用户开启弹窗提示后，实时审查的新任务或待确认任务来临时将弹出提示框告知用户，点击提示框中显示的任务，可直接进入任务处置界面。</w:t>
      </w:r>
    </w:p>
    <w:p w14:paraId="26809A81">
      <w:pPr>
        <w:pStyle w:val="69"/>
        <w:numPr>
          <w:ilvl w:val="1"/>
          <w:numId w:val="35"/>
        </w:numPr>
        <w:tabs>
          <w:tab w:val="left" w:pos="1134"/>
        </w:tabs>
        <w:spacing w:before="0" w:after="0"/>
        <w:ind w:right="-57" w:rightChars="-27"/>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使用习惯设置</w:t>
      </w:r>
    </w:p>
    <w:p w14:paraId="2EB41F35">
      <w:pPr>
        <w:autoSpaceDE w:val="0"/>
        <w:autoSpaceDN w:val="0"/>
        <w:adjustRightInd w:val="0"/>
        <w:spacing w:line="360" w:lineRule="auto"/>
        <w:ind w:right="-57" w:rightChars="-27" w:firstLine="480" w:firstLineChars="200"/>
        <w:rPr>
          <w:rFonts w:hint="eastAsia" w:cs="Arial" w:asciiTheme="minorEastAsia" w:hAnsiTheme="minorEastAsia"/>
          <w:sz w:val="24"/>
          <w:szCs w:val="24"/>
        </w:rPr>
      </w:pPr>
      <w:r>
        <w:rPr>
          <w:rFonts w:hint="eastAsia" w:cs="Arial" w:asciiTheme="minorEastAsia" w:hAnsiTheme="minorEastAsia"/>
          <w:sz w:val="24"/>
          <w:szCs w:val="24"/>
        </w:rPr>
        <w:t>用户可设置药师手动获取任务时一次性可获取的任务数量，支持设置1-5个任务。用户可根据使用习惯，设置任务提示音或上传满足格式及大小要求的音频文件作为任务提示音，可设置处置按钮位置、样式以及发送给医生的常用语，可对监测界面字体和颜色进行设置。</w:t>
      </w:r>
    </w:p>
    <w:p w14:paraId="4F1DEDA6">
      <w:pPr>
        <w:pStyle w:val="43"/>
        <w:numPr>
          <w:ilvl w:val="0"/>
          <w:numId w:val="32"/>
        </w:numPr>
        <w:spacing w:line="360" w:lineRule="auto"/>
        <w:ind w:firstLineChars="0"/>
        <w:rPr>
          <w:rFonts w:hint="eastAsia" w:asciiTheme="minorEastAsia" w:hAnsiTheme="minorEastAsia"/>
          <w:b/>
          <w:bCs/>
          <w:sz w:val="24"/>
          <w:szCs w:val="24"/>
        </w:rPr>
      </w:pPr>
      <w:bookmarkStart w:id="53" w:name="_Toc472602419"/>
      <w:bookmarkStart w:id="54" w:name="_Toc454839192"/>
      <w:bookmarkStart w:id="55" w:name="_Toc454444080"/>
      <w:r>
        <w:rPr>
          <w:rFonts w:hint="eastAsia" w:asciiTheme="minorEastAsia" w:hAnsiTheme="minorEastAsia"/>
          <w:b/>
          <w:bCs/>
          <w:sz w:val="24"/>
          <w:szCs w:val="24"/>
        </w:rPr>
        <w:t>任务分配功能</w:t>
      </w:r>
      <w:bookmarkEnd w:id="53"/>
      <w:bookmarkEnd w:id="54"/>
      <w:bookmarkEnd w:id="55"/>
    </w:p>
    <w:p w14:paraId="4A32D863">
      <w:pPr>
        <w:spacing w:line="360" w:lineRule="auto"/>
        <w:ind w:right="-57" w:rightChars="-27" w:firstLine="480" w:firstLineChars="200"/>
        <w:rPr>
          <w:rFonts w:hint="eastAsia" w:cs="Arial" w:asciiTheme="minorEastAsia" w:hAnsiTheme="minorEastAsia"/>
          <w:sz w:val="24"/>
          <w:szCs w:val="24"/>
        </w:rPr>
      </w:pPr>
      <w:bookmarkStart w:id="56" w:name="_Toc454839193"/>
      <w:bookmarkStart w:id="57" w:name="_Toc454444081"/>
      <w:r>
        <w:rPr>
          <w:rFonts w:hint="eastAsia" w:cs="Arial" w:asciiTheme="minorEastAsia" w:hAnsiTheme="minorEastAsia"/>
          <w:sz w:val="24"/>
          <w:szCs w:val="24"/>
        </w:rPr>
        <w:t>用户可以根据不同时期的临床管理需要，设置医院现阶段需要进行药师审方干预的科室。若医院有多个药师同时使用系统进行审方工作，为避免任务分配不均等问题，用户可以在系统中为每个药师设置处方（医嘱）来源科室。不同科室处方（医嘱）任务分配给相应负责药师，</w:t>
      </w:r>
      <w:bookmarkStart w:id="58" w:name="_Hlk126941776"/>
      <w:r>
        <w:rPr>
          <w:rFonts w:hint="eastAsia" w:cs="Arial" w:asciiTheme="minorEastAsia" w:hAnsiTheme="minorEastAsia"/>
          <w:sz w:val="24"/>
          <w:szCs w:val="24"/>
        </w:rPr>
        <w:t>若同一科室处方（医嘱）有多个药师负责，则系统随机分配。</w:t>
      </w:r>
      <w:bookmarkEnd w:id="58"/>
    </w:p>
    <w:p w14:paraId="1BA43B10">
      <w:pPr>
        <w:pStyle w:val="43"/>
        <w:numPr>
          <w:ilvl w:val="0"/>
          <w:numId w:val="32"/>
        </w:numPr>
        <w:spacing w:line="360" w:lineRule="auto"/>
        <w:ind w:firstLineChars="0"/>
        <w:rPr>
          <w:rFonts w:hint="eastAsia" w:asciiTheme="minorEastAsia" w:hAnsiTheme="minorEastAsia"/>
          <w:b/>
          <w:bCs/>
          <w:sz w:val="24"/>
          <w:szCs w:val="24"/>
        </w:rPr>
      </w:pPr>
      <w:bookmarkStart w:id="59" w:name="_Toc472602420"/>
      <w:r>
        <w:rPr>
          <w:rFonts w:hint="eastAsia" w:asciiTheme="minorEastAsia" w:hAnsiTheme="minorEastAsia"/>
          <w:b/>
          <w:bCs/>
          <w:sz w:val="24"/>
          <w:szCs w:val="24"/>
        </w:rPr>
        <w:t>统计分析功能</w:t>
      </w:r>
      <w:bookmarkEnd w:id="56"/>
      <w:bookmarkEnd w:id="57"/>
      <w:bookmarkEnd w:id="59"/>
    </w:p>
    <w:p w14:paraId="067A9A46">
      <w:pPr>
        <w:autoSpaceDE w:val="0"/>
        <w:autoSpaceDN w:val="0"/>
        <w:adjustRightInd w:val="0"/>
        <w:spacing w:line="360" w:lineRule="auto"/>
        <w:ind w:right="-57" w:rightChars="-27" w:firstLine="480" w:firstLineChars="200"/>
        <w:rPr>
          <w:rFonts w:hint="eastAsia" w:cs="Arial" w:asciiTheme="minorEastAsia" w:hAnsiTheme="minorEastAsia"/>
          <w:sz w:val="24"/>
          <w:szCs w:val="24"/>
        </w:rPr>
      </w:pPr>
      <w:bookmarkStart w:id="60" w:name="_Toc454839194"/>
      <w:bookmarkStart w:id="61" w:name="_Toc454444082"/>
      <w:r>
        <w:rPr>
          <w:rFonts w:hint="eastAsia" w:cs="Arial" w:asciiTheme="minorEastAsia" w:hAnsiTheme="minorEastAsia"/>
          <w:sz w:val="24"/>
          <w:szCs w:val="24"/>
        </w:rPr>
        <w:t>系统在药师进行审方干预时，可以对药师审方和干预的过程和结果进行监测，并对监测到的数据进行自动采集和保存，对药师审方干预的工作量和情况提供全面的统计和分析。用户可以根据需要设定统计条件和统计范围，能生成全院、科室、医生的被干预情况统计表、药师工作情况统计表等报表，同时还可以生成统计图，为药师绩效管理以及医院的相关部门分析管理药师审方干预情况提供依据。</w:t>
      </w:r>
      <w:bookmarkEnd w:id="60"/>
      <w:bookmarkEnd w:id="61"/>
    </w:p>
    <w:p w14:paraId="287D3185">
      <w:pPr>
        <w:pStyle w:val="43"/>
        <w:numPr>
          <w:ilvl w:val="0"/>
          <w:numId w:val="32"/>
        </w:numPr>
        <w:spacing w:line="360" w:lineRule="auto"/>
        <w:ind w:firstLineChars="0"/>
        <w:rPr>
          <w:rFonts w:hint="eastAsia" w:asciiTheme="minorEastAsia" w:hAnsiTheme="minorEastAsia"/>
          <w:b/>
          <w:bCs/>
          <w:sz w:val="24"/>
          <w:szCs w:val="24"/>
        </w:rPr>
      </w:pPr>
      <w:r>
        <w:rPr>
          <w:rFonts w:hint="eastAsia" w:asciiTheme="minorEastAsia" w:hAnsiTheme="minorEastAsia"/>
          <w:b/>
          <w:bCs/>
          <w:sz w:val="24"/>
          <w:szCs w:val="24"/>
        </w:rPr>
        <w:t>门诊（住院）查询功能</w:t>
      </w:r>
    </w:p>
    <w:p w14:paraId="65E176BC">
      <w:pPr>
        <w:spacing w:line="360" w:lineRule="auto"/>
        <w:ind w:right="-57" w:rightChars="-27" w:firstLine="600" w:firstLineChars="250"/>
        <w:rPr>
          <w:rFonts w:hint="eastAsia" w:cs="Arial" w:asciiTheme="minorEastAsia" w:hAnsiTheme="minorEastAsia"/>
          <w:sz w:val="24"/>
          <w:szCs w:val="24"/>
        </w:rPr>
      </w:pPr>
      <w:r>
        <w:rPr>
          <w:rFonts w:hint="eastAsia" w:cs="Arial" w:asciiTheme="minorEastAsia" w:hAnsiTheme="minorEastAsia"/>
          <w:sz w:val="24"/>
          <w:szCs w:val="24"/>
        </w:rPr>
        <w:t>用户可以查看门诊（住院）历史通过任务的详细信息及提交时间。支持按时间线的形式查看单个任务流程，并能通过查看药师审方干预的详细记录对每张处方（医嘱）的干预过程进行回顾研究。</w:t>
      </w:r>
    </w:p>
    <w:p w14:paraId="1594E5B6">
      <w:pPr>
        <w:pStyle w:val="43"/>
        <w:numPr>
          <w:ilvl w:val="0"/>
          <w:numId w:val="32"/>
        </w:numPr>
        <w:spacing w:line="360" w:lineRule="auto"/>
        <w:ind w:firstLineChars="0"/>
        <w:rPr>
          <w:rFonts w:hint="eastAsia" w:asciiTheme="minorEastAsia" w:hAnsiTheme="minorEastAsia"/>
          <w:b/>
          <w:bCs/>
          <w:sz w:val="24"/>
          <w:szCs w:val="24"/>
        </w:rPr>
      </w:pPr>
      <w:bookmarkStart w:id="62" w:name="_Toc472602421"/>
      <w:r>
        <w:rPr>
          <w:rFonts w:hint="eastAsia" w:asciiTheme="minorEastAsia" w:hAnsiTheme="minorEastAsia"/>
          <w:b/>
          <w:bCs/>
          <w:sz w:val="24"/>
          <w:szCs w:val="24"/>
        </w:rPr>
        <w:t>质量评价</w:t>
      </w:r>
    </w:p>
    <w:p w14:paraId="0C3D41AD">
      <w:pPr>
        <w:spacing w:line="360" w:lineRule="auto"/>
        <w:ind w:right="-57" w:rightChars="-27" w:firstLine="480" w:firstLineChars="200"/>
        <w:rPr>
          <w:rFonts w:hint="eastAsia" w:cs="Arial" w:asciiTheme="minorEastAsia" w:hAnsiTheme="minorEastAsia"/>
          <w:sz w:val="24"/>
          <w:szCs w:val="24"/>
        </w:rPr>
      </w:pPr>
      <w:r>
        <w:rPr>
          <w:rFonts w:hint="eastAsia" w:cs="Arial" w:asciiTheme="minorEastAsia" w:hAnsiTheme="minorEastAsia"/>
          <w:sz w:val="24"/>
          <w:szCs w:val="24"/>
        </w:rPr>
        <w:t>高级别药师可对较低级别药师已完成的审核任务进行评价打分。系统可提供多种抽样条件和抽样方式进行任务筛选，生成评分表。</w:t>
      </w:r>
    </w:p>
    <w:p w14:paraId="71F1B0C4">
      <w:pPr>
        <w:spacing w:line="360" w:lineRule="auto"/>
        <w:ind w:right="-57" w:rightChars="-27" w:firstLine="480" w:firstLineChars="200"/>
        <w:rPr>
          <w:rFonts w:hint="eastAsia" w:cs="Arial" w:asciiTheme="minorEastAsia" w:hAnsiTheme="minorEastAsia"/>
          <w:sz w:val="24"/>
          <w:szCs w:val="24"/>
        </w:rPr>
      </w:pPr>
      <w:r>
        <w:rPr>
          <w:rFonts w:hint="eastAsia" w:cs="Arial" w:asciiTheme="minorEastAsia" w:hAnsiTheme="minorEastAsia"/>
          <w:sz w:val="24"/>
          <w:szCs w:val="24"/>
        </w:rPr>
        <w:t>高级别药师可对历史审核任务中相同用药问题的处置操作进行一致性评价，评估出推荐的处置方案。当审方药师遇到相同问题时，系统将提示该问题的推荐处置方案，供药师参考。</w:t>
      </w:r>
      <w:bookmarkEnd w:id="62"/>
    </w:p>
    <w:p w14:paraId="11539CC0">
      <w:pPr>
        <w:pStyle w:val="4"/>
        <w:numPr>
          <w:ilvl w:val="0"/>
          <w:numId w:val="14"/>
        </w:numPr>
        <w:spacing w:line="360" w:lineRule="auto"/>
        <w:rPr>
          <w:rFonts w:hint="eastAsia" w:asciiTheme="minorEastAsia" w:hAnsiTheme="minorEastAsia"/>
          <w:sz w:val="28"/>
          <w:szCs w:val="28"/>
        </w:rPr>
      </w:pPr>
      <w:r>
        <w:rPr>
          <w:rFonts w:hint="eastAsia" w:asciiTheme="minorEastAsia" w:hAnsiTheme="minorEastAsia"/>
          <w:sz w:val="28"/>
          <w:szCs w:val="28"/>
        </w:rPr>
        <w:t>区域处方点评中心</w:t>
      </w:r>
    </w:p>
    <w:p w14:paraId="6C4C309B">
      <w:pPr>
        <w:pStyle w:val="43"/>
        <w:numPr>
          <w:ilvl w:val="0"/>
          <w:numId w:val="36"/>
        </w:numPr>
        <w:tabs>
          <w:tab w:val="left" w:pos="567"/>
        </w:tabs>
        <w:spacing w:line="360" w:lineRule="auto"/>
        <w:ind w:hanging="556" w:firstLineChars="0"/>
        <w:rPr>
          <w:rFonts w:hint="eastAsia" w:asciiTheme="minorEastAsia" w:hAnsiTheme="minorEastAsia"/>
          <w:b/>
          <w:bCs/>
          <w:sz w:val="24"/>
          <w:szCs w:val="24"/>
        </w:rPr>
      </w:pPr>
      <w:r>
        <w:rPr>
          <w:rFonts w:hint="eastAsia" w:asciiTheme="minorEastAsia" w:hAnsiTheme="minorEastAsia"/>
          <w:b/>
          <w:bCs/>
          <w:sz w:val="24"/>
          <w:szCs w:val="24"/>
        </w:rPr>
        <w:t>区域处方点评</w:t>
      </w:r>
    </w:p>
    <w:p w14:paraId="4573DFE1">
      <w:pPr>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在全区域共用一套点评规则的前提下，</w:t>
      </w:r>
      <w:r>
        <w:rPr>
          <w:rFonts w:hint="eastAsia" w:cs="Arial" w:asciiTheme="minorEastAsia" w:hAnsiTheme="minorEastAsia"/>
          <w:sz w:val="24"/>
          <w:szCs w:val="24"/>
        </w:rPr>
        <w:t>系统</w:t>
      </w:r>
      <w:r>
        <w:rPr>
          <w:rFonts w:hint="eastAsia" w:asciiTheme="minorEastAsia" w:hAnsiTheme="minorEastAsia"/>
          <w:sz w:val="24"/>
          <w:szCs w:val="24"/>
        </w:rPr>
        <w:t>可进行单个医疗机构或多个医疗机构的全量处方或医嘱的点评，也可抽取重点药物进行专项化点评。</w:t>
      </w:r>
    </w:p>
    <w:p w14:paraId="41F18AE4">
      <w:pPr>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点评过程中可将点评任务分配给区域中不同医疗机构的药师，点评人在遇到点评问题时也可向上级医院的药师进行求助；点评完成后，可以按照区域中的医疗机构生成点评结果的统计。</w:t>
      </w:r>
    </w:p>
    <w:p w14:paraId="7D323D95">
      <w:pPr>
        <w:pStyle w:val="43"/>
        <w:numPr>
          <w:ilvl w:val="0"/>
          <w:numId w:val="36"/>
        </w:numPr>
        <w:tabs>
          <w:tab w:val="left" w:pos="567"/>
        </w:tabs>
        <w:spacing w:line="360" w:lineRule="auto"/>
        <w:ind w:hanging="556" w:firstLineChars="0"/>
        <w:rPr>
          <w:rFonts w:hint="eastAsia" w:asciiTheme="minorEastAsia" w:hAnsiTheme="minorEastAsia"/>
          <w:b/>
          <w:bCs/>
          <w:sz w:val="24"/>
          <w:szCs w:val="24"/>
        </w:rPr>
      </w:pPr>
      <w:r>
        <w:rPr>
          <w:rFonts w:hint="eastAsia" w:asciiTheme="minorEastAsia" w:hAnsiTheme="minorEastAsia"/>
          <w:b/>
          <w:bCs/>
          <w:sz w:val="24"/>
          <w:szCs w:val="24"/>
        </w:rPr>
        <w:t>功能说明</w:t>
      </w:r>
    </w:p>
    <w:p w14:paraId="4ECE2286">
      <w:pPr>
        <w:spacing w:line="360" w:lineRule="auto"/>
        <w:ind w:right="86" w:rightChars="41" w:firstLine="470" w:firstLineChars="196"/>
        <w:rPr>
          <w:rFonts w:hint="eastAsia" w:cs="Arial" w:asciiTheme="minorEastAsia" w:hAnsiTheme="minorEastAsia"/>
          <w:sz w:val="24"/>
          <w:szCs w:val="24"/>
        </w:rPr>
      </w:pPr>
      <w:bookmarkStart w:id="63" w:name="_Toc423097798"/>
      <w:r>
        <w:rPr>
          <w:rFonts w:hint="eastAsia" w:cs="Arial" w:asciiTheme="minorEastAsia" w:hAnsiTheme="minorEastAsia"/>
          <w:sz w:val="24"/>
          <w:szCs w:val="24"/>
        </w:rPr>
        <w:t>系统结合《医院处方点评管理规范（试行）》、《处方管理办法》、《处方点评监测网工作手册》、《三级综合医院评审标准实施细则》、《抗菌药物临床应用指导原则》等处方点评相关政策要求，实现对医院处方（医嘱）的电子化评价功能。</w:t>
      </w:r>
    </w:p>
    <w:p w14:paraId="4740FDC5">
      <w:pPr>
        <w:spacing w:line="360" w:lineRule="auto"/>
        <w:ind w:right="86" w:rightChars="41" w:firstLine="470" w:firstLineChars="196"/>
        <w:rPr>
          <w:rFonts w:hint="eastAsia" w:cs="Arial" w:asciiTheme="minorEastAsia" w:hAnsiTheme="minorEastAsia"/>
          <w:sz w:val="24"/>
          <w:szCs w:val="24"/>
        </w:rPr>
      </w:pPr>
      <w:r>
        <w:rPr>
          <w:rFonts w:hint="eastAsia" w:cs="Arial" w:asciiTheme="minorEastAsia" w:hAnsiTheme="minorEastAsia"/>
          <w:sz w:val="24"/>
          <w:szCs w:val="24"/>
        </w:rPr>
        <w:t>系统提供抽样、任务分配、药师求助、专家复核、反馈医生、医生申述、药师审结的点评流程，在流程中提供消息提醒，医生无需登录系统即可在医生工作站查看点评结果。任务分配支持随机分配、按管辖科室、药品分配，并可设置查看任务的权限。</w:t>
      </w:r>
    </w:p>
    <w:p w14:paraId="23545BAA">
      <w:pPr>
        <w:spacing w:line="360" w:lineRule="auto"/>
        <w:ind w:right="86" w:rightChars="41" w:firstLine="470" w:firstLineChars="196"/>
        <w:rPr>
          <w:rFonts w:hint="eastAsia" w:cs="Arial" w:asciiTheme="minorEastAsia" w:hAnsiTheme="minorEastAsia"/>
          <w:sz w:val="24"/>
          <w:szCs w:val="24"/>
        </w:rPr>
      </w:pPr>
      <w:r>
        <w:rPr>
          <w:rFonts w:hint="eastAsia" w:cs="Arial" w:asciiTheme="minorEastAsia" w:hAnsiTheme="minorEastAsia"/>
          <w:sz w:val="24"/>
          <w:szCs w:val="24"/>
        </w:rPr>
        <w:t>系统</w:t>
      </w:r>
      <w:r>
        <w:rPr>
          <w:rFonts w:cs="Arial" w:asciiTheme="minorEastAsia" w:hAnsiTheme="minorEastAsia"/>
          <w:sz w:val="24"/>
          <w:szCs w:val="24"/>
        </w:rPr>
        <w:t>支持双盲点评</w:t>
      </w:r>
      <w:r>
        <w:rPr>
          <w:rFonts w:hint="eastAsia" w:cs="Arial" w:asciiTheme="minorEastAsia" w:hAnsiTheme="minorEastAsia"/>
          <w:sz w:val="24"/>
          <w:szCs w:val="24"/>
        </w:rPr>
        <w:t>、批量点评、逾期设置、自定义点评模板、增补处方或病人，可自定义生成患者用药联用图、时序图，高亮显示被点评药品，合并显示成组药品。</w:t>
      </w:r>
    </w:p>
    <w:p w14:paraId="764D4E37">
      <w:pPr>
        <w:spacing w:line="360" w:lineRule="auto"/>
        <w:ind w:right="86" w:rightChars="41" w:firstLine="470" w:firstLineChars="196"/>
        <w:rPr>
          <w:rFonts w:hint="eastAsia" w:cs="Arial" w:asciiTheme="minorEastAsia" w:hAnsiTheme="minorEastAsia"/>
          <w:sz w:val="24"/>
          <w:szCs w:val="24"/>
        </w:rPr>
      </w:pPr>
      <w:r>
        <w:rPr>
          <w:rFonts w:hint="eastAsia" w:cs="Arial" w:asciiTheme="minorEastAsia" w:hAnsiTheme="minorEastAsia"/>
          <w:sz w:val="24"/>
          <w:szCs w:val="24"/>
        </w:rPr>
        <w:t>系统</w:t>
      </w:r>
      <w:r>
        <w:rPr>
          <w:rFonts w:cs="Arial" w:asciiTheme="minorEastAsia" w:hAnsiTheme="minorEastAsia"/>
          <w:sz w:val="24"/>
          <w:szCs w:val="24"/>
        </w:rPr>
        <w:t>提供多张点评统计报表</w:t>
      </w:r>
      <w:r>
        <w:rPr>
          <w:rFonts w:hint="eastAsia" w:cs="Arial" w:asciiTheme="minorEastAsia" w:hAnsiTheme="minorEastAsia"/>
          <w:sz w:val="24"/>
          <w:szCs w:val="24"/>
        </w:rPr>
        <w:t>，</w:t>
      </w:r>
      <w:r>
        <w:rPr>
          <w:rFonts w:cs="Arial" w:asciiTheme="minorEastAsia" w:hAnsiTheme="minorEastAsia"/>
          <w:sz w:val="24"/>
          <w:szCs w:val="24"/>
        </w:rPr>
        <w:t>包括</w:t>
      </w:r>
      <w:r>
        <w:rPr>
          <w:rFonts w:hint="eastAsia" w:cs="Arial" w:asciiTheme="minorEastAsia" w:hAnsiTheme="minorEastAsia"/>
          <w:sz w:val="24"/>
          <w:szCs w:val="24"/>
        </w:rPr>
        <w:t>点评工作表、点评结果统计表、存在问题统计表、点评结果差异明细表、点评问题明细表、个人任务完成情况表、点评任务完成情况表、医生反馈统计表、点评结果汇总统计表，部分点评报表可自定义显示和导出字段。</w:t>
      </w:r>
    </w:p>
    <w:p w14:paraId="0EBE7C6F">
      <w:pPr>
        <w:pStyle w:val="71"/>
        <w:numPr>
          <w:ilvl w:val="1"/>
          <w:numId w:val="37"/>
        </w:numPr>
        <w:spacing w:before="0" w:after="0"/>
        <w:ind w:left="851" w:hanging="425"/>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门急诊处方点评（全处方点评）</w:t>
      </w:r>
    </w:p>
    <w:p w14:paraId="3CB869E5">
      <w:pPr>
        <w:spacing w:line="360" w:lineRule="auto"/>
        <w:ind w:right="86" w:rightChars="41" w:firstLine="470" w:firstLineChars="196"/>
        <w:rPr>
          <w:rFonts w:hint="eastAsia" w:cs="Arial" w:asciiTheme="minorEastAsia" w:hAnsiTheme="minorEastAsia"/>
          <w:sz w:val="24"/>
          <w:szCs w:val="24"/>
        </w:rPr>
      </w:pPr>
      <w:r>
        <w:rPr>
          <w:rFonts w:hint="eastAsia" w:cs="Arial" w:asciiTheme="minorEastAsia" w:hAnsiTheme="minorEastAsia"/>
          <w:sz w:val="24"/>
          <w:szCs w:val="24"/>
        </w:rPr>
        <w:t>根据《医院处方点评管理规范（试行）》、《处方点评监测网工作手册》等相关规定中对门急诊处方点评的要求，系统将《医院处方点评管理规范（试行）》中对处方的28项评价点进行标准化处理，用户可在程序预判的基础上结合临床实际情况对处方书写规范性、药品用法用量、适应症、给药途径、相互作用等多项情况进行评价。</w:t>
      </w:r>
    </w:p>
    <w:p w14:paraId="09C3392E">
      <w:pPr>
        <w:pStyle w:val="71"/>
        <w:numPr>
          <w:ilvl w:val="1"/>
          <w:numId w:val="37"/>
        </w:numPr>
        <w:spacing w:before="0" w:after="0"/>
        <w:ind w:left="851" w:hanging="425"/>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住院病人医嘱点评（全医嘱点评）</w:t>
      </w:r>
    </w:p>
    <w:p w14:paraId="21755C06">
      <w:pPr>
        <w:spacing w:line="360" w:lineRule="auto"/>
        <w:ind w:right="86" w:rightChars="41" w:firstLine="470" w:firstLineChars="196"/>
        <w:rPr>
          <w:rFonts w:hint="eastAsia" w:cs="Arial" w:asciiTheme="minorEastAsia" w:hAnsiTheme="minorEastAsia"/>
          <w:sz w:val="24"/>
          <w:szCs w:val="24"/>
        </w:rPr>
      </w:pPr>
      <w:r>
        <w:rPr>
          <w:rFonts w:hint="eastAsia" w:cs="Arial" w:asciiTheme="minorEastAsia" w:hAnsiTheme="minorEastAsia"/>
          <w:sz w:val="24"/>
          <w:szCs w:val="24"/>
        </w:rPr>
        <w:t>根据《医院处方点评管理规范（试行）》、《处方点评监测网工作手册》等相关规定中对住院病人医嘱点评的要求，系统设置针对住院病人医嘱点评合理性评价的评价点，用户可在程序预判的基础上结合临床实际情况对医嘱中药品用法用量、适应症、给药途径、相互作用等多项情况进行评价。</w:t>
      </w:r>
    </w:p>
    <w:p w14:paraId="2E582281">
      <w:pPr>
        <w:pStyle w:val="71"/>
        <w:numPr>
          <w:ilvl w:val="1"/>
          <w:numId w:val="37"/>
        </w:numPr>
        <w:spacing w:before="0" w:after="0"/>
        <w:ind w:left="851" w:hanging="425"/>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门急诊抗菌药物处方点评</w:t>
      </w:r>
    </w:p>
    <w:p w14:paraId="06307DEB">
      <w:pPr>
        <w:spacing w:line="360" w:lineRule="auto"/>
        <w:ind w:right="86" w:rightChars="41" w:firstLine="470" w:firstLineChars="196"/>
        <w:rPr>
          <w:rFonts w:hint="eastAsia" w:cs="Arial" w:asciiTheme="minorEastAsia" w:hAnsiTheme="minorEastAsia"/>
          <w:sz w:val="24"/>
          <w:szCs w:val="24"/>
        </w:rPr>
      </w:pPr>
      <w:r>
        <w:rPr>
          <w:rFonts w:hint="eastAsia" w:cs="Arial" w:asciiTheme="minorEastAsia" w:hAnsiTheme="minorEastAsia"/>
          <w:sz w:val="24"/>
          <w:szCs w:val="24"/>
        </w:rPr>
        <w:t>根据《三级综合医院评审标准实施细则》、《2013年全国抗菌药物专项整治活动督导检查手册》、《处方管理办法》和《医院处方点评管理规范（试行）》等相关规定对临床门急诊使用抗菌药物的要求，系统设置了针对门急诊处方抗菌药物使用是否合理的评价点，实现对门急诊抗菌药物处方的专项点评，用户可在程序预判的基础上结合临床实际情况对处方书写规范性、用法用量、给药途径、相互作用、适应症、联合用药不适宜等多项情况进行评价。</w:t>
      </w:r>
    </w:p>
    <w:p w14:paraId="0D5B45B0">
      <w:pPr>
        <w:pStyle w:val="71"/>
        <w:numPr>
          <w:ilvl w:val="1"/>
          <w:numId w:val="37"/>
        </w:numPr>
        <w:spacing w:before="0" w:after="0"/>
        <w:ind w:left="993"/>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住院病人抗菌药物医嘱点评</w:t>
      </w:r>
    </w:p>
    <w:p w14:paraId="018D35F3">
      <w:pPr>
        <w:spacing w:line="360" w:lineRule="auto"/>
        <w:ind w:right="86" w:rightChars="41" w:firstLine="470" w:firstLineChars="196"/>
        <w:rPr>
          <w:rFonts w:hint="eastAsia" w:cs="Arial" w:asciiTheme="minorEastAsia" w:hAnsiTheme="minorEastAsia"/>
          <w:sz w:val="24"/>
          <w:szCs w:val="24"/>
        </w:rPr>
      </w:pPr>
      <w:r>
        <w:rPr>
          <w:rFonts w:hint="eastAsia" w:cs="Arial" w:asciiTheme="minorEastAsia" w:hAnsiTheme="minorEastAsia"/>
          <w:sz w:val="24"/>
          <w:szCs w:val="24"/>
        </w:rPr>
        <w:t>根据《三级综合医院评审标准实施细则》、《2013年全国抗菌药物专项整治活动督导检查手册》、《处方管理办法》和《医院处方点评管理规范（试行） 》等相关规定对临床住院病人使用抗菌药物的要求，系统设置针对住院病人抗菌药物使用是否合理的评价点，实现对住院病人抗菌药物的专项点评。用户可在程序预判的基础上结合临床实际情况对医嘱中抗菌药物用法用量、适应症、给药途径、相互作用、联合用药、更换药物、药物选择不符合抗菌药物分级管理、用药效果欠佳等多项情况进行评价。</w:t>
      </w:r>
    </w:p>
    <w:p w14:paraId="215B69EB">
      <w:pPr>
        <w:pStyle w:val="71"/>
        <w:numPr>
          <w:ilvl w:val="1"/>
          <w:numId w:val="37"/>
        </w:numPr>
        <w:spacing w:before="0" w:after="0"/>
        <w:ind w:left="993"/>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围手术期抗菌药物医嘱点评</w:t>
      </w:r>
    </w:p>
    <w:p w14:paraId="4AFB3084">
      <w:pPr>
        <w:spacing w:line="360" w:lineRule="auto"/>
        <w:ind w:right="86" w:rightChars="41" w:firstLine="470" w:firstLineChars="196"/>
        <w:rPr>
          <w:rFonts w:hint="eastAsia" w:cs="Arial" w:asciiTheme="minorEastAsia" w:hAnsiTheme="minorEastAsia"/>
          <w:sz w:val="24"/>
          <w:szCs w:val="24"/>
        </w:rPr>
      </w:pPr>
      <w:r>
        <w:rPr>
          <w:rFonts w:hint="eastAsia" w:cs="Arial" w:asciiTheme="minorEastAsia" w:hAnsiTheme="minorEastAsia"/>
          <w:sz w:val="24"/>
          <w:szCs w:val="24"/>
        </w:rPr>
        <w:t>根据《三级综合医院评审标准实施细则》、《2013年全国抗菌药物专项整治活动督导检查手册》、《卫生部办公厅关于抗菌药物临床应用管理有关问题的通知（卫办医政发[2009]38号）》、《普通外科Ⅰ类(清洁)切口手术围手术期预防用抗菌药物管理实施细则》</w:t>
      </w:r>
      <w:r>
        <w:rPr>
          <w:rFonts w:cs="Arial" w:asciiTheme="minorEastAsia" w:hAnsiTheme="minorEastAsia"/>
          <w:sz w:val="24"/>
          <w:szCs w:val="24"/>
        </w:rPr>
        <w:t xml:space="preserve"> </w:t>
      </w:r>
      <w:r>
        <w:rPr>
          <w:rFonts w:hint="eastAsia" w:cs="Arial" w:asciiTheme="minorEastAsia" w:hAnsiTheme="minorEastAsia"/>
          <w:sz w:val="24"/>
          <w:szCs w:val="24"/>
        </w:rPr>
        <w:t>和《剖宫产手术围手术期预防用抗菌药物管理实施细则》等相关规定对围手术期使用抗菌药物的相关要求，系统设置针对抗菌药物围手术期使用是否合理的评价点，实现对抗菌药物围手术期使用的专项点评。用户可在程序预判的基础上结合临床实际情况对围手术期使用抗菌药物选药不合理、预防药物更换不合理、术前给药时机不合理、术中用药不合理、手术预防用药疗程不合理等多项情况进行评价。</w:t>
      </w:r>
    </w:p>
    <w:p w14:paraId="21811C9F">
      <w:pPr>
        <w:pStyle w:val="71"/>
        <w:numPr>
          <w:ilvl w:val="1"/>
          <w:numId w:val="37"/>
        </w:numPr>
        <w:spacing w:before="0" w:after="0"/>
        <w:ind w:left="993"/>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门（急）诊处方专项药品点评</w:t>
      </w:r>
    </w:p>
    <w:p w14:paraId="7133C7B1">
      <w:pPr>
        <w:spacing w:line="360" w:lineRule="auto"/>
        <w:ind w:right="86" w:rightChars="41" w:firstLine="470" w:firstLineChars="196"/>
        <w:rPr>
          <w:rFonts w:hint="eastAsia" w:cs="Arial" w:asciiTheme="minorEastAsia" w:hAnsiTheme="minorEastAsia"/>
          <w:sz w:val="24"/>
          <w:szCs w:val="24"/>
        </w:rPr>
      </w:pPr>
      <w:r>
        <w:rPr>
          <w:rFonts w:hint="eastAsia" w:cs="Arial" w:asciiTheme="minorEastAsia" w:hAnsiTheme="minorEastAsia"/>
          <w:sz w:val="24"/>
          <w:szCs w:val="24"/>
        </w:rPr>
        <w:t>根据《医院处方点评管理规范（试行）》等相关政策要求，提供对处方中任一（类）药品的专项点评，用户可在程序预判的基础上结合临床实际情况对相应处方的规范性、用法用量、给药途径、相互作用、适应症等进行合理性点评。</w:t>
      </w:r>
    </w:p>
    <w:p w14:paraId="6A80B986">
      <w:pPr>
        <w:pStyle w:val="71"/>
        <w:numPr>
          <w:ilvl w:val="1"/>
          <w:numId w:val="37"/>
        </w:numPr>
        <w:spacing w:before="0" w:after="0"/>
        <w:ind w:left="993"/>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住院病人医嘱专项药品点评</w:t>
      </w:r>
    </w:p>
    <w:p w14:paraId="675A3CFE">
      <w:pPr>
        <w:spacing w:line="360" w:lineRule="auto"/>
        <w:ind w:right="86" w:rightChars="41" w:firstLine="470" w:firstLineChars="196"/>
        <w:rPr>
          <w:rFonts w:hint="eastAsia" w:cs="Arial" w:asciiTheme="minorEastAsia" w:hAnsiTheme="minorEastAsia"/>
          <w:sz w:val="24"/>
          <w:szCs w:val="24"/>
        </w:rPr>
      </w:pPr>
      <w:r>
        <w:rPr>
          <w:rFonts w:hint="eastAsia" w:cs="Arial" w:asciiTheme="minorEastAsia" w:hAnsiTheme="minorEastAsia"/>
          <w:sz w:val="24"/>
          <w:szCs w:val="24"/>
        </w:rPr>
        <w:t>根据《医院处方点评管理规范（试行）》等相关政策要求，提供对住院病人医嘱中任一（类）药品的专项点评，用户可在程序预判的基础上结合临床实际情况对相应医嘱的用法用量、联合用药、重复给药、相互作用等进行合理性点评。</w:t>
      </w:r>
    </w:p>
    <w:p w14:paraId="0BE2CB05">
      <w:pPr>
        <w:pStyle w:val="71"/>
        <w:numPr>
          <w:ilvl w:val="1"/>
          <w:numId w:val="37"/>
        </w:numPr>
        <w:spacing w:before="0" w:after="0"/>
        <w:ind w:left="993"/>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门（急）诊抗肿瘤药物专项点评</w:t>
      </w:r>
    </w:p>
    <w:p w14:paraId="16934421">
      <w:pPr>
        <w:spacing w:line="360" w:lineRule="auto"/>
        <w:ind w:right="86" w:rightChars="41" w:firstLine="480" w:firstLineChars="200"/>
        <w:rPr>
          <w:rFonts w:hint="eastAsia" w:asciiTheme="minorEastAsia" w:hAnsiTheme="minorEastAsia"/>
          <w:sz w:val="24"/>
          <w:szCs w:val="24"/>
        </w:rPr>
      </w:pPr>
      <w:r>
        <w:rPr>
          <w:rFonts w:hint="eastAsia" w:asciiTheme="minorEastAsia" w:hAnsiTheme="minorEastAsia"/>
          <w:sz w:val="24"/>
          <w:szCs w:val="24"/>
        </w:rPr>
        <w:t>根据《医院处方点评管理规范（试行）》等相关政策对抗肿瘤药物的专项点评要求，</w:t>
      </w:r>
      <w:r>
        <w:rPr>
          <w:rFonts w:hint="eastAsia" w:cs="Arial" w:asciiTheme="minorEastAsia" w:hAnsiTheme="minorEastAsia"/>
          <w:sz w:val="24"/>
          <w:szCs w:val="24"/>
        </w:rPr>
        <w:t>系统</w:t>
      </w:r>
      <w:r>
        <w:rPr>
          <w:rFonts w:hint="eastAsia" w:asciiTheme="minorEastAsia" w:hAnsiTheme="minorEastAsia"/>
          <w:sz w:val="24"/>
          <w:szCs w:val="24"/>
        </w:rPr>
        <w:t>设置针对门急诊抗肿瘤药物使用是否合理的评价点，用户可在程序预判的基础上结合临床实际情况对处方的书写规范、用药顺序、化疗方案、使用权限、用法用量、药品剂型、给药途径、联合用药、重复给药等多项情况进行评价。</w:t>
      </w:r>
    </w:p>
    <w:p w14:paraId="2AA95A24">
      <w:pPr>
        <w:pStyle w:val="71"/>
        <w:numPr>
          <w:ilvl w:val="1"/>
          <w:numId w:val="37"/>
        </w:numPr>
        <w:spacing w:before="0" w:after="0"/>
        <w:ind w:left="993"/>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住院病人抗肿瘤药物专项点评</w:t>
      </w:r>
    </w:p>
    <w:p w14:paraId="3DF3DABD">
      <w:pPr>
        <w:spacing w:line="360" w:lineRule="auto"/>
        <w:ind w:right="86" w:rightChars="41" w:firstLine="480" w:firstLineChars="200"/>
        <w:rPr>
          <w:rFonts w:hint="eastAsia" w:asciiTheme="minorEastAsia" w:hAnsiTheme="minorEastAsia"/>
          <w:sz w:val="24"/>
          <w:szCs w:val="24"/>
        </w:rPr>
      </w:pPr>
      <w:r>
        <w:rPr>
          <w:rFonts w:hint="eastAsia" w:asciiTheme="minorEastAsia" w:hAnsiTheme="minorEastAsia"/>
          <w:sz w:val="24"/>
          <w:szCs w:val="24"/>
        </w:rPr>
        <w:t>根据《医院处方点评管理规范（试行）》等相关政策对抗肿瘤药物的专项点评要求，</w:t>
      </w:r>
      <w:r>
        <w:rPr>
          <w:rFonts w:hint="eastAsia" w:cs="Arial" w:asciiTheme="minorEastAsia" w:hAnsiTheme="minorEastAsia"/>
          <w:sz w:val="24"/>
          <w:szCs w:val="24"/>
        </w:rPr>
        <w:t>系统</w:t>
      </w:r>
      <w:r>
        <w:rPr>
          <w:rFonts w:hint="eastAsia" w:asciiTheme="minorEastAsia" w:hAnsiTheme="minorEastAsia"/>
          <w:sz w:val="24"/>
          <w:szCs w:val="24"/>
        </w:rPr>
        <w:t>设置针对住院病人抗肿瘤药物使用是否合理的评价点，用户可在程序预判的基础上结合临床实际情况对医嘱中的用药顺序、化疗方案、使用权限、用法用量、药品剂型、给药途径、联合用药、重复给药等多项情况进行评价。</w:t>
      </w:r>
    </w:p>
    <w:p w14:paraId="4F1B5F53">
      <w:pPr>
        <w:pStyle w:val="71"/>
        <w:numPr>
          <w:ilvl w:val="1"/>
          <w:numId w:val="37"/>
        </w:numPr>
        <w:spacing w:before="0" w:after="0"/>
        <w:ind w:left="993"/>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住院病人人血白蛋白专项点评</w:t>
      </w:r>
    </w:p>
    <w:p w14:paraId="6824C4BF">
      <w:pPr>
        <w:spacing w:line="360" w:lineRule="auto"/>
        <w:ind w:right="86" w:rightChars="41" w:firstLine="470" w:firstLineChars="196"/>
        <w:rPr>
          <w:rFonts w:hint="eastAsia" w:cs="Arial" w:asciiTheme="minorEastAsia" w:hAnsiTheme="minorEastAsia"/>
          <w:sz w:val="24"/>
          <w:szCs w:val="24"/>
        </w:rPr>
      </w:pPr>
      <w:r>
        <w:rPr>
          <w:rFonts w:hint="eastAsia" w:cs="Arial" w:asciiTheme="minorEastAsia" w:hAnsiTheme="minorEastAsia"/>
          <w:sz w:val="24"/>
          <w:szCs w:val="24"/>
        </w:rPr>
        <w:t>根据《医院处方点评管理规范（试行）》、《医疗机构药事管理规定》、《血液制品临床应用指导原则（征求意见稿）》等相关规定中对住院病人人血白蛋白专项点评的要求，系统设置针对住院病人人血白蛋白使用是否合理的评价点，用户可在程序预判的基础上结合临床实际情况对用医嘱中药品剂型、给药途径、用法用量、联合用药、重复给药等多项情况进行评价。</w:t>
      </w:r>
    </w:p>
    <w:p w14:paraId="659CCC2B">
      <w:pPr>
        <w:pStyle w:val="71"/>
        <w:numPr>
          <w:ilvl w:val="1"/>
          <w:numId w:val="37"/>
        </w:numPr>
        <w:spacing w:before="0" w:after="0"/>
        <w:ind w:left="993"/>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住院病人特殊抗菌药物（万古霉素等）专项点评</w:t>
      </w:r>
    </w:p>
    <w:p w14:paraId="4B518655">
      <w:pPr>
        <w:spacing w:line="360" w:lineRule="auto"/>
        <w:ind w:right="86" w:rightChars="41" w:firstLine="470" w:firstLineChars="196"/>
        <w:rPr>
          <w:rFonts w:hint="eastAsia" w:cs="Arial" w:asciiTheme="minorEastAsia" w:hAnsiTheme="minorEastAsia"/>
          <w:sz w:val="24"/>
          <w:szCs w:val="24"/>
        </w:rPr>
      </w:pPr>
      <w:r>
        <w:rPr>
          <w:rFonts w:hint="eastAsia" w:cs="Arial" w:asciiTheme="minorEastAsia" w:hAnsiTheme="minorEastAsia"/>
          <w:sz w:val="24"/>
          <w:szCs w:val="24"/>
        </w:rPr>
        <w:t>根据《医院处方点评管理规范（试行）》、《抗菌药物临床应用管理办法》、《抗菌药物临床应用指导原则》、《万古霉素临床应用中国专家共识》等相关规定中对住院病人万古霉素（或其它特殊级抗菌药物）专项点评的要求，系统设置针对住院病人万古霉素（或其它特殊级抗菌药物）使用是否合理的评价点，用户可在程序预判的基础上结合临床实际情况对医嘱中用药适应症适宜性、溶媒适宜性、用法用量适宜性、治疗疗程适宜性、越权用药、送检/药敏情况、用药申请/会诊等多项情况进行评价。</w:t>
      </w:r>
    </w:p>
    <w:p w14:paraId="119B3643">
      <w:pPr>
        <w:pStyle w:val="71"/>
        <w:numPr>
          <w:ilvl w:val="1"/>
          <w:numId w:val="37"/>
        </w:numPr>
        <w:spacing w:before="0" w:after="0"/>
        <w:ind w:left="993"/>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住院病人碳青霉烯类及替加环素专项点评</w:t>
      </w:r>
    </w:p>
    <w:p w14:paraId="0A7D517B">
      <w:pPr>
        <w:spacing w:line="360" w:lineRule="auto"/>
        <w:ind w:right="86" w:rightChars="41" w:firstLine="470" w:firstLineChars="196"/>
        <w:rPr>
          <w:rFonts w:hint="eastAsia" w:cs="Arial" w:asciiTheme="minorEastAsia" w:hAnsiTheme="minorEastAsia"/>
          <w:sz w:val="24"/>
          <w:szCs w:val="24"/>
        </w:rPr>
      </w:pPr>
      <w:r>
        <w:rPr>
          <w:rFonts w:hint="eastAsia" w:cs="Arial" w:asciiTheme="minorEastAsia" w:hAnsiTheme="minorEastAsia"/>
          <w:sz w:val="24"/>
          <w:szCs w:val="24"/>
        </w:rPr>
        <w:t>根据《医院处方点评管理规范（试行）》、《抗菌药物临床应用管理办法》、《抗菌药物临床应用指导原则》、《国家卫生健康委办公厅关于持续做好抗菌药物临床应用管理工作的通知》、《碳青霉烯类抗菌药物临床应用评价细则》、《替加环素临床应用评价细则》等相关规定中对碳青霉烯类及替加环素抗菌药物专项点评的要求，系统提供适应症、品种选择、用法用量及配伍、病原学及疗效评估、用药权限与会诊不符合要求等评价项目，用户可进行人工点评及自动扣分。</w:t>
      </w:r>
    </w:p>
    <w:p w14:paraId="04AB8473">
      <w:pPr>
        <w:pStyle w:val="71"/>
        <w:numPr>
          <w:ilvl w:val="1"/>
          <w:numId w:val="37"/>
        </w:numPr>
        <w:spacing w:before="0" w:after="0"/>
        <w:ind w:left="993"/>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门急诊中药饮片处方专项点评</w:t>
      </w:r>
    </w:p>
    <w:p w14:paraId="4304DC0F">
      <w:pPr>
        <w:spacing w:line="360" w:lineRule="auto"/>
        <w:ind w:right="86" w:rightChars="41" w:firstLine="470" w:firstLineChars="196"/>
        <w:rPr>
          <w:rFonts w:hint="eastAsia" w:cs="Arial" w:asciiTheme="minorEastAsia" w:hAnsiTheme="minorEastAsia"/>
          <w:sz w:val="24"/>
          <w:szCs w:val="24"/>
        </w:rPr>
      </w:pPr>
      <w:r>
        <w:rPr>
          <w:rFonts w:hint="eastAsia" w:cs="Arial" w:asciiTheme="minorEastAsia" w:hAnsiTheme="minorEastAsia"/>
          <w:sz w:val="24"/>
          <w:szCs w:val="24"/>
        </w:rPr>
        <w:t>根据《医院处方点评管理规范（试行）》、《中药处方格式及书写规范》等相关规定中对中药饮片处方点评的要求，系统设置针对门急诊中药饮片使用是否合理的评价点，用户可在程序预判的基础上结合临床实际情况对处方中填写规范、处方未按照君臣佐使顺序书写、超过规定味数、用药与辩证不符、中药配伍禁忌、未按要求标注药物调剂和煎煮等特殊要求、开具毒麻饮片未执行国家有关规定等多项情况进行评价。</w:t>
      </w:r>
    </w:p>
    <w:p w14:paraId="2C7B12B4">
      <w:pPr>
        <w:pStyle w:val="71"/>
        <w:numPr>
          <w:ilvl w:val="1"/>
          <w:numId w:val="37"/>
        </w:numPr>
        <w:spacing w:before="0" w:after="0"/>
        <w:ind w:left="993"/>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门急诊中成药处方专项点评</w:t>
      </w:r>
    </w:p>
    <w:p w14:paraId="08894269">
      <w:pPr>
        <w:spacing w:line="360" w:lineRule="auto"/>
        <w:ind w:right="86" w:rightChars="41" w:firstLine="470" w:firstLineChars="196"/>
        <w:rPr>
          <w:rFonts w:hint="eastAsia" w:cs="Arial" w:asciiTheme="minorEastAsia" w:hAnsiTheme="minorEastAsia"/>
          <w:sz w:val="24"/>
          <w:szCs w:val="24"/>
        </w:rPr>
      </w:pPr>
      <w:r>
        <w:rPr>
          <w:rFonts w:hint="eastAsia" w:cs="Arial" w:asciiTheme="minorEastAsia" w:hAnsiTheme="minorEastAsia"/>
          <w:sz w:val="24"/>
          <w:szCs w:val="24"/>
        </w:rPr>
        <w:t>根据《医院处方点评管理规范（试行）》、《中成药临床应用指导原则》、《中药处方格式及书写规范》等相关规定中对中成药处方点评的要求，系统设置针对门急诊中成药使用是否合理的评价点，用户可在程序预判的基础上结合临床实际情况对处方中填写规范、用法用量、超说明书用药、联合用药等多项情况进行评价。</w:t>
      </w:r>
    </w:p>
    <w:p w14:paraId="14C56068">
      <w:pPr>
        <w:pStyle w:val="71"/>
        <w:numPr>
          <w:ilvl w:val="1"/>
          <w:numId w:val="37"/>
        </w:numPr>
        <w:spacing w:before="0" w:after="0"/>
        <w:ind w:left="993"/>
        <w:rPr>
          <w:rFonts w:hint="eastAsia" w:asciiTheme="minorEastAsia" w:hAnsiTheme="minorEastAsia" w:eastAsiaTheme="minorEastAsia"/>
          <w:sz w:val="24"/>
          <w:szCs w:val="24"/>
        </w:rPr>
      </w:pPr>
      <w:r>
        <w:rPr>
          <w:rFonts w:hint="eastAsia" w:asciiTheme="minorEastAsia" w:hAnsiTheme="minorEastAsia" w:eastAsiaTheme="minorEastAsia"/>
          <w:sz w:val="24"/>
          <w:szCs w:val="24"/>
        </w:rPr>
        <w:t>用药排名医嘱点评</w:t>
      </w:r>
    </w:p>
    <w:p w14:paraId="73103A56">
      <w:pPr>
        <w:spacing w:line="360" w:lineRule="auto"/>
        <w:ind w:right="86" w:rightChars="41" w:firstLine="470" w:firstLineChars="196"/>
        <w:rPr>
          <w:rFonts w:hint="eastAsia" w:cs="Arial" w:asciiTheme="minorEastAsia" w:hAnsiTheme="minorEastAsia"/>
          <w:sz w:val="24"/>
          <w:szCs w:val="24"/>
        </w:rPr>
      </w:pPr>
      <w:r>
        <w:rPr>
          <w:rFonts w:hint="eastAsia" w:cs="Arial" w:asciiTheme="minorEastAsia" w:hAnsiTheme="minorEastAsia"/>
          <w:sz w:val="24"/>
          <w:szCs w:val="24"/>
        </w:rPr>
        <w:t>根据国家、省市对重点监控药品的相关规定，系统提供对医院使用金额、数量或DDDs前N位药品的科室、（开嘱）医生所开具处方/医嘱进行点评的功能，用户可在程序预判的基础上结合临床实际情况对医嘱中适应症、遴选药品、剂型、给药途径、用法用量、联合用药等多项情况进行评价。</w:t>
      </w:r>
    </w:p>
    <w:p w14:paraId="509AFD29">
      <w:pPr>
        <w:pStyle w:val="71"/>
        <w:numPr>
          <w:ilvl w:val="1"/>
          <w:numId w:val="37"/>
        </w:numPr>
        <w:spacing w:before="0" w:after="0"/>
        <w:ind w:left="993"/>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住院用药医嘱点评</w:t>
      </w:r>
    </w:p>
    <w:p w14:paraId="64EEFAEA">
      <w:pPr>
        <w:spacing w:line="360" w:lineRule="auto"/>
        <w:ind w:right="86" w:rightChars="41" w:firstLine="470" w:firstLineChars="196"/>
        <w:rPr>
          <w:rFonts w:hint="eastAsia" w:cs="Arial" w:asciiTheme="minorEastAsia" w:hAnsiTheme="minorEastAsia"/>
          <w:sz w:val="24"/>
          <w:szCs w:val="24"/>
        </w:rPr>
      </w:pPr>
      <w:r>
        <w:rPr>
          <w:rFonts w:hint="eastAsia" w:cs="Arial" w:asciiTheme="minorEastAsia" w:hAnsiTheme="minorEastAsia"/>
          <w:sz w:val="24"/>
          <w:szCs w:val="24"/>
        </w:rPr>
        <w:t>在用药排名医嘱点评的基础上，系统提供按用药时间、开嘱科室、开嘱医生等筛选条件抽选患者医嘱进行点评的功能，用户可在程序预判的基础上结合临床实际情况对医嘱中适应症、遴选药品、剂型、给药途径、用法用量、联合用药等多项情况进行评价。</w:t>
      </w:r>
    </w:p>
    <w:p w14:paraId="3F1CC7DD">
      <w:pPr>
        <w:pStyle w:val="71"/>
        <w:numPr>
          <w:ilvl w:val="1"/>
          <w:numId w:val="37"/>
        </w:numPr>
        <w:spacing w:before="0" w:after="0"/>
        <w:ind w:left="993"/>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出院带药医嘱点评</w:t>
      </w:r>
    </w:p>
    <w:p w14:paraId="4E2C2F7E">
      <w:pPr>
        <w:spacing w:line="360" w:lineRule="auto"/>
        <w:ind w:right="86" w:rightChars="41" w:firstLine="470" w:firstLineChars="196"/>
        <w:rPr>
          <w:rFonts w:hint="eastAsia" w:cs="Arial" w:asciiTheme="minorEastAsia" w:hAnsiTheme="minorEastAsia"/>
          <w:sz w:val="24"/>
          <w:szCs w:val="24"/>
        </w:rPr>
      </w:pPr>
      <w:r>
        <w:rPr>
          <w:rFonts w:hint="eastAsia" w:cs="Arial" w:asciiTheme="minorEastAsia" w:hAnsiTheme="minorEastAsia"/>
          <w:sz w:val="24"/>
          <w:szCs w:val="24"/>
        </w:rPr>
        <w:t>在用药排名医嘱点评的基础上，系统提供出院带药点评，用户可在程序预判的基础上结合临床实际情况对医嘱中适应症、遴选药品、剂型、给药途径、用法用量、联合用药等多项情况进行评价。</w:t>
      </w:r>
    </w:p>
    <w:p w14:paraId="1026D62F">
      <w:pPr>
        <w:pStyle w:val="71"/>
        <w:numPr>
          <w:ilvl w:val="1"/>
          <w:numId w:val="37"/>
        </w:numPr>
        <w:spacing w:before="0" w:after="0"/>
        <w:ind w:left="993"/>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门急诊基本药物专项点评</w:t>
      </w:r>
    </w:p>
    <w:p w14:paraId="3CF381A5">
      <w:pPr>
        <w:spacing w:line="360" w:lineRule="auto"/>
        <w:ind w:right="86" w:rightChars="41" w:firstLine="470" w:firstLineChars="196"/>
        <w:rPr>
          <w:rFonts w:hint="eastAsia" w:cs="Arial" w:asciiTheme="minorEastAsia" w:hAnsiTheme="minorEastAsia"/>
          <w:sz w:val="24"/>
          <w:szCs w:val="24"/>
        </w:rPr>
      </w:pPr>
      <w:r>
        <w:rPr>
          <w:rFonts w:hint="eastAsia" w:cs="Arial" w:asciiTheme="minorEastAsia" w:hAnsiTheme="minorEastAsia"/>
          <w:sz w:val="24"/>
          <w:szCs w:val="24"/>
        </w:rPr>
        <w:t>根据《医院处方点评管理规范（试行）》、《国家基本药物临床应用指南》、《北京市医疗机构处方点评》等相关规定中对基本药物处方点评的要求，系统设置针对门急诊基本药物使用是否合理的评价点，用户可在程序预判的基础上结合临床实际情况对处方中填写规范、用法用量、用药方案与《国家基本药物临床应用指南》是否一致等多项情况进行评价。</w:t>
      </w:r>
    </w:p>
    <w:p w14:paraId="64C17619">
      <w:pPr>
        <w:pStyle w:val="71"/>
        <w:numPr>
          <w:ilvl w:val="1"/>
          <w:numId w:val="37"/>
        </w:numPr>
        <w:spacing w:before="0" w:after="0"/>
        <w:ind w:left="993"/>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住院病人肠外营养专项点评</w:t>
      </w:r>
    </w:p>
    <w:p w14:paraId="6CDC9125">
      <w:pPr>
        <w:spacing w:line="360" w:lineRule="auto"/>
        <w:ind w:right="86" w:rightChars="41" w:firstLine="470" w:firstLineChars="196"/>
        <w:rPr>
          <w:rFonts w:hint="eastAsia" w:cs="Arial" w:asciiTheme="minorEastAsia" w:hAnsiTheme="minorEastAsia"/>
          <w:sz w:val="24"/>
          <w:szCs w:val="24"/>
        </w:rPr>
      </w:pPr>
      <w:r>
        <w:rPr>
          <w:rFonts w:hint="eastAsia" w:cs="Arial" w:asciiTheme="minorEastAsia" w:hAnsiTheme="minorEastAsia"/>
          <w:sz w:val="24"/>
          <w:szCs w:val="24"/>
        </w:rPr>
        <w:t>根据《医院处方点评管理规范（试行）》等相关政策对肠外营养液的专项点评要求，提供对住院病人肠外营养医嘱的专项点评，程序可自动计算热量、补液量、氮量、糖</w:t>
      </w:r>
      <w:r>
        <w:rPr>
          <w:rFonts w:cs="Arial" w:asciiTheme="minorEastAsia" w:hAnsiTheme="minorEastAsia"/>
          <w:sz w:val="24"/>
          <w:szCs w:val="24"/>
        </w:rPr>
        <w:t>/脂肪乳/氨基酸总量、氨基酸供给量、糖脂比、</w:t>
      </w:r>
      <w:r>
        <w:rPr>
          <w:rFonts w:hint="eastAsia" w:cs="Arial" w:asciiTheme="minorEastAsia" w:hAnsiTheme="minorEastAsia"/>
          <w:sz w:val="24"/>
          <w:szCs w:val="24"/>
        </w:rPr>
        <w:t>热氮比、丙氨酰谷氨酰胺用量占比、钠</w:t>
      </w:r>
      <w:r>
        <w:rPr>
          <w:rFonts w:cs="Arial" w:asciiTheme="minorEastAsia" w:hAnsiTheme="minorEastAsia"/>
          <w:sz w:val="24"/>
          <w:szCs w:val="24"/>
        </w:rPr>
        <w:t>/钾/钙/镁/磷/电解质一价</w:t>
      </w:r>
      <w:r>
        <w:rPr>
          <w:rFonts w:hint="eastAsia" w:cs="Arial" w:asciiTheme="minorEastAsia" w:hAnsiTheme="minorEastAsia"/>
          <w:sz w:val="24"/>
          <w:szCs w:val="24"/>
        </w:rPr>
        <w:t>及</w:t>
      </w:r>
      <w:r>
        <w:rPr>
          <w:rFonts w:cs="Arial" w:asciiTheme="minorEastAsia" w:hAnsiTheme="minorEastAsia"/>
          <w:sz w:val="24"/>
          <w:szCs w:val="24"/>
        </w:rPr>
        <w:t>二价阳离子</w:t>
      </w:r>
      <w:r>
        <w:rPr>
          <w:rFonts w:hint="eastAsia" w:cs="Arial" w:asciiTheme="minorEastAsia" w:hAnsiTheme="minorEastAsia"/>
          <w:sz w:val="24"/>
          <w:szCs w:val="24"/>
        </w:rPr>
        <w:t>浓度、</w:t>
      </w:r>
      <w:r>
        <w:rPr>
          <w:rFonts w:cs="Arial" w:asciiTheme="minorEastAsia" w:hAnsiTheme="minorEastAsia"/>
          <w:sz w:val="24"/>
          <w:szCs w:val="24"/>
        </w:rPr>
        <w:t>渗透压摩尔浓度</w:t>
      </w:r>
      <w:r>
        <w:rPr>
          <w:rFonts w:hint="eastAsia" w:cs="Arial" w:asciiTheme="minorEastAsia" w:hAnsiTheme="minorEastAsia"/>
          <w:sz w:val="24"/>
          <w:szCs w:val="24"/>
        </w:rPr>
        <w:t>等指标。用户可在程序预判的基础上结合临床实际情况对医嘱中适应症、供给热量、糖脂比、热氮比、电解质浓度适宜性等多项情况进行评价。</w:t>
      </w:r>
    </w:p>
    <w:p w14:paraId="64B92024">
      <w:pPr>
        <w:pStyle w:val="71"/>
        <w:numPr>
          <w:ilvl w:val="1"/>
          <w:numId w:val="37"/>
        </w:numPr>
        <w:spacing w:before="0" w:after="0"/>
        <w:ind w:left="993"/>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住院病人中药饮片处方专项点评</w:t>
      </w:r>
    </w:p>
    <w:p w14:paraId="2D12EDE7">
      <w:pPr>
        <w:spacing w:line="360" w:lineRule="auto"/>
        <w:ind w:right="86" w:rightChars="41" w:firstLine="470" w:firstLineChars="196"/>
        <w:rPr>
          <w:rFonts w:hint="eastAsia" w:cs="Arial" w:asciiTheme="minorEastAsia" w:hAnsiTheme="minorEastAsia"/>
          <w:sz w:val="24"/>
          <w:szCs w:val="24"/>
        </w:rPr>
      </w:pPr>
      <w:r>
        <w:rPr>
          <w:rFonts w:hint="eastAsia" w:cs="Arial" w:asciiTheme="minorEastAsia" w:hAnsiTheme="minorEastAsia"/>
          <w:sz w:val="24"/>
          <w:szCs w:val="24"/>
        </w:rPr>
        <w:t>根据《医院处方点评管理规范（试行）》、《中药处方格式及书写规范》等相关规定中对住院病人中药饮片处方点评的要求，系统设置针对中药饮片使用是否合理的评价点，用户可在程序预判的基础上结合临床实际情况对处方中填写规范、适应症不适宜、用药与辩证不符、超过规定味数、中药配伍禁忌（十八反十九畏）、用法用量、联合用药等多项情况进行评价。</w:t>
      </w:r>
    </w:p>
    <w:p w14:paraId="4A3D952D">
      <w:pPr>
        <w:pStyle w:val="71"/>
        <w:numPr>
          <w:ilvl w:val="1"/>
          <w:numId w:val="37"/>
        </w:numPr>
        <w:spacing w:before="0" w:after="0"/>
        <w:ind w:left="993"/>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住院病人自备药专项点评</w:t>
      </w:r>
    </w:p>
    <w:p w14:paraId="3790CC85">
      <w:pPr>
        <w:spacing w:line="360" w:lineRule="auto"/>
        <w:ind w:right="86" w:rightChars="41" w:firstLine="480" w:firstLineChars="200"/>
        <w:rPr>
          <w:rFonts w:hint="eastAsia" w:asciiTheme="minorEastAsia" w:hAnsiTheme="minorEastAsia"/>
          <w:b/>
          <w:sz w:val="24"/>
          <w:szCs w:val="24"/>
        </w:rPr>
      </w:pPr>
      <w:r>
        <w:rPr>
          <w:rFonts w:hint="eastAsia" w:cs="Arial" w:asciiTheme="minorEastAsia" w:hAnsiTheme="minorEastAsia"/>
          <w:sz w:val="24"/>
          <w:szCs w:val="24"/>
        </w:rPr>
        <w:t>根据《医院处方点评管理规范（试行）》等相关政策要求，提供对住院病人自备药医嘱的专项点评，用户可结合临床实际情况对相应医嘱的规范性、用法用量、给药途径、相互作用、适应症等进行合理性点评。</w:t>
      </w:r>
    </w:p>
    <w:p w14:paraId="4902D6BE">
      <w:pPr>
        <w:pStyle w:val="71"/>
        <w:numPr>
          <w:ilvl w:val="1"/>
          <w:numId w:val="37"/>
        </w:numPr>
        <w:spacing w:before="0" w:after="0"/>
        <w:ind w:left="993"/>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门（急）诊外延处方点评</w:t>
      </w:r>
    </w:p>
    <w:p w14:paraId="0CF51B5B">
      <w:pPr>
        <w:spacing w:line="360" w:lineRule="auto"/>
        <w:ind w:right="86" w:rightChars="41" w:firstLine="480" w:firstLineChars="200"/>
        <w:rPr>
          <w:rFonts w:hint="eastAsia" w:cs="Arial" w:asciiTheme="minorEastAsia" w:hAnsiTheme="minorEastAsia"/>
          <w:sz w:val="24"/>
          <w:szCs w:val="24"/>
        </w:rPr>
      </w:pPr>
      <w:r>
        <w:rPr>
          <w:rFonts w:hint="eastAsia" w:cs="Arial" w:asciiTheme="minorEastAsia" w:hAnsiTheme="minorEastAsia"/>
          <w:sz w:val="24"/>
          <w:szCs w:val="24"/>
        </w:rPr>
        <w:t>根据《医院处方点评管理规范（试行）》等相关政策要求，提供对门（急）诊外延处方的专项点评，用户可结合临床实际情况对相应处方的规范性、用法用量、给药途径、相互作用、适应症等进行合理性点评。</w:t>
      </w:r>
      <w:bookmarkEnd w:id="63"/>
    </w:p>
    <w:p w14:paraId="63B6AF84">
      <w:pPr>
        <w:pStyle w:val="4"/>
        <w:numPr>
          <w:ilvl w:val="0"/>
          <w:numId w:val="14"/>
        </w:numPr>
        <w:spacing w:line="360" w:lineRule="auto"/>
        <w:rPr>
          <w:rFonts w:hint="eastAsia" w:asciiTheme="minorEastAsia" w:hAnsiTheme="minorEastAsia"/>
          <w:sz w:val="28"/>
          <w:szCs w:val="28"/>
        </w:rPr>
      </w:pPr>
      <w:r>
        <w:rPr>
          <w:rFonts w:hint="eastAsia" w:asciiTheme="minorEastAsia" w:hAnsiTheme="minorEastAsia"/>
          <w:sz w:val="28"/>
          <w:szCs w:val="28"/>
        </w:rPr>
        <w:t>区域用药数据</w:t>
      </w:r>
      <w:r>
        <w:rPr>
          <w:rFonts w:asciiTheme="minorEastAsia" w:hAnsiTheme="minorEastAsia"/>
          <w:sz w:val="28"/>
          <w:szCs w:val="28"/>
        </w:rPr>
        <w:t>分析</w:t>
      </w:r>
    </w:p>
    <w:p w14:paraId="4CA6AF73">
      <w:pPr>
        <w:pStyle w:val="43"/>
        <w:numPr>
          <w:ilvl w:val="0"/>
          <w:numId w:val="38"/>
        </w:numPr>
        <w:tabs>
          <w:tab w:val="left" w:pos="567"/>
        </w:tabs>
        <w:spacing w:line="360" w:lineRule="auto"/>
        <w:ind w:hanging="141" w:firstLineChars="0"/>
        <w:rPr>
          <w:rFonts w:hint="eastAsia" w:asciiTheme="minorEastAsia" w:hAnsiTheme="minorEastAsia"/>
          <w:b/>
          <w:bCs/>
          <w:sz w:val="24"/>
          <w:szCs w:val="24"/>
        </w:rPr>
      </w:pPr>
      <w:r>
        <w:rPr>
          <w:rFonts w:hint="eastAsia" w:asciiTheme="minorEastAsia" w:hAnsiTheme="minorEastAsia"/>
          <w:b/>
          <w:bCs/>
          <w:sz w:val="24"/>
          <w:szCs w:val="24"/>
        </w:rPr>
        <w:t>区域用药数据分析</w:t>
      </w:r>
    </w:p>
    <w:p w14:paraId="31A59BCE">
      <w:pPr>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根据《三级综合医院评审标准实施细则》、《2013年全国抗菌药物专项整治活动督导检查手册》、《2015年抗菌药物临床应用管理评价指标及要求》、《药事管理专业医疗质量控制指标（2020 年版）》、《抗肿瘤药物临床合理应用管理指标》、《关于印发“提高住院患者抗菌药物治疗前病原学送检率”专项行动指导意见的函》等相关规定对医疗机构合理用药指标及药品使用情况统计的要求，系统通过接口从HIS系统提取药品、费用等相关信息，在此基础上实现对全区域或单个医疗机构合理用药指标及药品使用情况的信息化统计和分析。</w:t>
      </w:r>
    </w:p>
    <w:p w14:paraId="44E976B0">
      <w:pPr>
        <w:pStyle w:val="43"/>
        <w:numPr>
          <w:ilvl w:val="0"/>
          <w:numId w:val="38"/>
        </w:numPr>
        <w:tabs>
          <w:tab w:val="left" w:pos="567"/>
        </w:tabs>
        <w:spacing w:line="360" w:lineRule="auto"/>
        <w:ind w:hanging="141" w:firstLineChars="0"/>
        <w:rPr>
          <w:rFonts w:hint="eastAsia" w:asciiTheme="minorEastAsia" w:hAnsiTheme="minorEastAsia"/>
          <w:b/>
          <w:bCs/>
          <w:sz w:val="24"/>
          <w:szCs w:val="24"/>
        </w:rPr>
      </w:pPr>
      <w:r>
        <w:rPr>
          <w:rFonts w:hint="eastAsia" w:asciiTheme="minorEastAsia" w:hAnsiTheme="minorEastAsia"/>
          <w:b/>
          <w:bCs/>
          <w:sz w:val="24"/>
          <w:szCs w:val="24"/>
        </w:rPr>
        <w:t>功能说明</w:t>
      </w:r>
    </w:p>
    <w:p w14:paraId="3E76C715">
      <w:pPr>
        <w:numPr>
          <w:ilvl w:val="0"/>
          <w:numId w:val="39"/>
        </w:numPr>
        <w:spacing w:line="360" w:lineRule="auto"/>
        <w:ind w:hanging="28"/>
        <w:rPr>
          <w:rFonts w:hint="eastAsia" w:asciiTheme="minorEastAsia" w:hAnsiTheme="minorEastAsia"/>
          <w:b/>
          <w:sz w:val="24"/>
          <w:szCs w:val="24"/>
        </w:rPr>
      </w:pPr>
      <w:r>
        <w:rPr>
          <w:rFonts w:hint="eastAsia" w:asciiTheme="minorEastAsia" w:hAnsiTheme="minorEastAsia"/>
          <w:b/>
          <w:sz w:val="24"/>
          <w:szCs w:val="24"/>
        </w:rPr>
        <w:t>药品指标</w:t>
      </w:r>
    </w:p>
    <w:p w14:paraId="6DC04BF7">
      <w:pPr>
        <w:pStyle w:val="43"/>
        <w:numPr>
          <w:ilvl w:val="1"/>
          <w:numId w:val="39"/>
        </w:numPr>
        <w:spacing w:line="360" w:lineRule="auto"/>
        <w:ind w:firstLineChars="0"/>
        <w:rPr>
          <w:rFonts w:hint="eastAsia" w:asciiTheme="minorEastAsia" w:hAnsiTheme="minorEastAsia"/>
          <w:b/>
          <w:sz w:val="24"/>
          <w:szCs w:val="24"/>
        </w:rPr>
      </w:pPr>
      <w:r>
        <w:rPr>
          <w:rFonts w:hint="eastAsia" w:asciiTheme="minorEastAsia" w:hAnsiTheme="minorEastAsia"/>
          <w:b/>
          <w:sz w:val="24"/>
          <w:szCs w:val="24"/>
        </w:rPr>
        <w:t>合理指标趋势分析</w:t>
      </w:r>
    </w:p>
    <w:p w14:paraId="052F2CAF">
      <w:pPr>
        <w:pStyle w:val="43"/>
        <w:numPr>
          <w:ilvl w:val="1"/>
          <w:numId w:val="39"/>
        </w:numPr>
        <w:spacing w:line="360" w:lineRule="auto"/>
        <w:ind w:firstLineChars="0"/>
        <w:rPr>
          <w:rFonts w:hint="eastAsia" w:asciiTheme="minorEastAsia" w:hAnsiTheme="minorEastAsia"/>
          <w:b/>
          <w:sz w:val="24"/>
          <w:szCs w:val="24"/>
        </w:rPr>
      </w:pPr>
      <w:r>
        <w:rPr>
          <w:rFonts w:hint="eastAsia" w:asciiTheme="minorEastAsia" w:hAnsiTheme="minorEastAsia"/>
          <w:b/>
          <w:sz w:val="24"/>
          <w:szCs w:val="24"/>
        </w:rPr>
        <w:t>合理用药指标</w:t>
      </w:r>
    </w:p>
    <w:p w14:paraId="7DD1E30D">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门急诊处方指标</w:t>
      </w:r>
    </w:p>
    <w:p w14:paraId="780073BD">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门急诊病人指标</w:t>
      </w:r>
    </w:p>
    <w:p w14:paraId="446509FA">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住出院病人指标</w:t>
      </w:r>
    </w:p>
    <w:p w14:paraId="733CA072">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抗菌药物使用量</w:t>
      </w:r>
    </w:p>
    <w:p w14:paraId="77E43371">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抗菌药物使用强度</w:t>
      </w:r>
    </w:p>
    <w:p w14:paraId="089663F9">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一般手术指标(按手术例数)</w:t>
      </w:r>
    </w:p>
    <w:p w14:paraId="0C860CEB">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一般手术指标(按手术台数)</w:t>
      </w:r>
    </w:p>
    <w:p w14:paraId="0DAA5576">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重点及特殊手术指标(按手术例数)</w:t>
      </w:r>
    </w:p>
    <w:p w14:paraId="5A9D4B49">
      <w:pPr>
        <w:pStyle w:val="43"/>
        <w:numPr>
          <w:ilvl w:val="1"/>
          <w:numId w:val="39"/>
        </w:numPr>
        <w:spacing w:line="360" w:lineRule="auto"/>
        <w:ind w:firstLineChars="0"/>
        <w:rPr>
          <w:rFonts w:hint="eastAsia" w:asciiTheme="minorEastAsia" w:hAnsiTheme="minorEastAsia"/>
          <w:b/>
          <w:sz w:val="24"/>
          <w:szCs w:val="24"/>
        </w:rPr>
      </w:pPr>
      <w:r>
        <w:rPr>
          <w:rFonts w:hint="eastAsia" w:asciiTheme="minorEastAsia" w:hAnsiTheme="minorEastAsia"/>
          <w:b/>
          <w:sz w:val="24"/>
          <w:szCs w:val="24"/>
        </w:rPr>
        <w:t>药品使用情况自定义统计</w:t>
      </w:r>
    </w:p>
    <w:p w14:paraId="5F5E0AEE">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门急诊处方药品使用情况自定义统计</w:t>
      </w:r>
    </w:p>
    <w:p w14:paraId="35D63D61">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门急诊病人药品使用情况自定义统计</w:t>
      </w:r>
    </w:p>
    <w:p w14:paraId="76FD81CF">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住出院病人药品使用情况自定义统计</w:t>
      </w:r>
    </w:p>
    <w:p w14:paraId="7669DEA7">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病人药品使用情况自定义统计</w:t>
      </w:r>
    </w:p>
    <w:p w14:paraId="568FA1A1">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住院病人药品使用情况清单表</w:t>
      </w:r>
    </w:p>
    <w:p w14:paraId="5F388C28">
      <w:pPr>
        <w:pStyle w:val="43"/>
        <w:numPr>
          <w:ilvl w:val="1"/>
          <w:numId w:val="39"/>
        </w:numPr>
        <w:spacing w:line="360" w:lineRule="auto"/>
        <w:ind w:firstLineChars="0"/>
        <w:rPr>
          <w:rFonts w:hint="eastAsia" w:asciiTheme="minorEastAsia" w:hAnsiTheme="minorEastAsia"/>
          <w:b/>
          <w:sz w:val="24"/>
          <w:szCs w:val="24"/>
        </w:rPr>
      </w:pPr>
      <w:r>
        <w:rPr>
          <w:rFonts w:hint="eastAsia" w:asciiTheme="minorEastAsia" w:hAnsiTheme="minorEastAsia"/>
          <w:b/>
          <w:sz w:val="24"/>
          <w:szCs w:val="24"/>
        </w:rPr>
        <w:t>药品使用强度统计</w:t>
      </w:r>
    </w:p>
    <w:p w14:paraId="1765BF3D">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药品使用强度统计表(医院)</w:t>
      </w:r>
    </w:p>
    <w:p w14:paraId="35663F6F">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药品使用强度统计表(病区)</w:t>
      </w:r>
    </w:p>
    <w:p w14:paraId="2E9C489C">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药品使用强度统计表(科室)</w:t>
      </w:r>
    </w:p>
    <w:p w14:paraId="3C9A66DB">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药品使用强度统计表(医疗组)</w:t>
      </w:r>
    </w:p>
    <w:p w14:paraId="0A68C5C4">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药品使用强度统计表(医生)</w:t>
      </w:r>
    </w:p>
    <w:p w14:paraId="70779A63">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药品使用强度统计表(趋势分析)</w:t>
      </w:r>
    </w:p>
    <w:p w14:paraId="376AABEC">
      <w:pPr>
        <w:pStyle w:val="43"/>
        <w:numPr>
          <w:ilvl w:val="1"/>
          <w:numId w:val="39"/>
        </w:numPr>
        <w:spacing w:line="360" w:lineRule="auto"/>
        <w:ind w:firstLineChars="0"/>
        <w:rPr>
          <w:rFonts w:hint="eastAsia" w:asciiTheme="minorEastAsia" w:hAnsiTheme="minorEastAsia"/>
          <w:b/>
          <w:sz w:val="24"/>
          <w:szCs w:val="24"/>
        </w:rPr>
      </w:pPr>
      <w:r>
        <w:rPr>
          <w:rFonts w:hint="eastAsia" w:asciiTheme="minorEastAsia" w:hAnsiTheme="minorEastAsia"/>
          <w:b/>
          <w:sz w:val="24"/>
          <w:szCs w:val="24"/>
        </w:rPr>
        <w:t>药品消耗情况统计</w:t>
      </w:r>
    </w:p>
    <w:p w14:paraId="12523C34">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药品消耗情况及DDDs统计表(医院)</w:t>
      </w:r>
    </w:p>
    <w:p w14:paraId="77DC4498">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药品消耗情况及DDDs统计表(病区)</w:t>
      </w:r>
    </w:p>
    <w:p w14:paraId="584073C7">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药品消耗情况及DDDs统计表(大科室)</w:t>
      </w:r>
    </w:p>
    <w:p w14:paraId="3BA67D2C">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药品消耗情况及DDDs统计表(科室)</w:t>
      </w:r>
    </w:p>
    <w:p w14:paraId="7D1CDFB1">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药品消耗情况及DDDs统计表(医疗组)</w:t>
      </w:r>
    </w:p>
    <w:p w14:paraId="57BE79EB">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药品消耗情况及DDDs统计表(医生)</w:t>
      </w:r>
    </w:p>
    <w:p w14:paraId="41580683">
      <w:pPr>
        <w:pStyle w:val="43"/>
        <w:numPr>
          <w:ilvl w:val="1"/>
          <w:numId w:val="39"/>
        </w:numPr>
        <w:spacing w:line="360" w:lineRule="auto"/>
        <w:ind w:firstLineChars="0"/>
        <w:rPr>
          <w:rFonts w:hint="eastAsia" w:asciiTheme="minorEastAsia" w:hAnsiTheme="minorEastAsia"/>
          <w:b/>
          <w:sz w:val="24"/>
          <w:szCs w:val="24"/>
        </w:rPr>
      </w:pPr>
      <w:r>
        <w:rPr>
          <w:rFonts w:hint="eastAsia" w:asciiTheme="minorEastAsia" w:hAnsiTheme="minorEastAsia"/>
          <w:b/>
          <w:sz w:val="24"/>
          <w:szCs w:val="24"/>
        </w:rPr>
        <w:t>药品消耗情况趋势分析</w:t>
      </w:r>
    </w:p>
    <w:p w14:paraId="68FE96C5">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药品消耗情况趋势分析(医院)</w:t>
      </w:r>
    </w:p>
    <w:p w14:paraId="09EAF2D7">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药品消耗情况趋势分析(病区)</w:t>
      </w:r>
    </w:p>
    <w:p w14:paraId="1572CB78">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药品消耗情况趋势分析(大科室)</w:t>
      </w:r>
    </w:p>
    <w:p w14:paraId="6FF47842">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药品消耗情况趋势分析(科室)</w:t>
      </w:r>
    </w:p>
    <w:p w14:paraId="10B668A0">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药品消耗情况趋势分析(医疗组)</w:t>
      </w:r>
    </w:p>
    <w:p w14:paraId="40D88449">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药品消耗情况趋势分析(医生)</w:t>
      </w:r>
    </w:p>
    <w:p w14:paraId="4D57CD45">
      <w:pPr>
        <w:pStyle w:val="43"/>
        <w:numPr>
          <w:ilvl w:val="1"/>
          <w:numId w:val="39"/>
        </w:numPr>
        <w:spacing w:line="360" w:lineRule="auto"/>
        <w:ind w:firstLineChars="0"/>
        <w:rPr>
          <w:rFonts w:hint="eastAsia" w:asciiTheme="minorEastAsia" w:hAnsiTheme="minorEastAsia"/>
          <w:b/>
          <w:sz w:val="24"/>
          <w:szCs w:val="24"/>
        </w:rPr>
      </w:pPr>
      <w:r>
        <w:rPr>
          <w:rFonts w:hint="eastAsia" w:asciiTheme="minorEastAsia" w:hAnsiTheme="minorEastAsia"/>
          <w:b/>
          <w:sz w:val="24"/>
          <w:szCs w:val="24"/>
        </w:rPr>
        <w:t>药品消耗情况排名统计</w:t>
      </w:r>
    </w:p>
    <w:p w14:paraId="3C6AA75C">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药品使用金额及数量排名表(科室)</w:t>
      </w:r>
    </w:p>
    <w:p w14:paraId="62A33F59">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药品使用金额及数量排名表(医疗组)</w:t>
      </w:r>
    </w:p>
    <w:p w14:paraId="2BC22BC0">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药品使用金额及数量排名表(医生)</w:t>
      </w:r>
    </w:p>
    <w:p w14:paraId="5315263D">
      <w:pPr>
        <w:pStyle w:val="43"/>
        <w:numPr>
          <w:ilvl w:val="1"/>
          <w:numId w:val="39"/>
        </w:numPr>
        <w:spacing w:line="360" w:lineRule="auto"/>
        <w:ind w:firstLineChars="0"/>
        <w:rPr>
          <w:rFonts w:hint="eastAsia" w:asciiTheme="minorEastAsia" w:hAnsiTheme="minorEastAsia"/>
          <w:b/>
          <w:sz w:val="24"/>
          <w:szCs w:val="24"/>
        </w:rPr>
      </w:pPr>
      <w:r>
        <w:rPr>
          <w:rFonts w:hint="eastAsia" w:asciiTheme="minorEastAsia" w:hAnsiTheme="minorEastAsia"/>
          <w:b/>
          <w:sz w:val="24"/>
          <w:szCs w:val="24"/>
        </w:rPr>
        <w:t>药品使用人次分布统计</w:t>
      </w:r>
    </w:p>
    <w:p w14:paraId="6D68C28E">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药品使用人次统计表(医院)</w:t>
      </w:r>
    </w:p>
    <w:p w14:paraId="66FCBDF7">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药品使用人次统计表(科室)</w:t>
      </w:r>
    </w:p>
    <w:p w14:paraId="09109AA7">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药品使用人次统计表(医疗组)</w:t>
      </w:r>
    </w:p>
    <w:p w14:paraId="5D09BE0D">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药品使用人次统计表(医生)</w:t>
      </w:r>
    </w:p>
    <w:p w14:paraId="59CCDA34">
      <w:pPr>
        <w:pStyle w:val="43"/>
        <w:numPr>
          <w:ilvl w:val="1"/>
          <w:numId w:val="39"/>
        </w:numPr>
        <w:spacing w:line="360" w:lineRule="auto"/>
        <w:ind w:firstLineChars="0"/>
        <w:rPr>
          <w:rFonts w:hint="eastAsia" w:asciiTheme="minorEastAsia" w:hAnsiTheme="minorEastAsia"/>
          <w:b/>
          <w:sz w:val="24"/>
          <w:szCs w:val="24"/>
        </w:rPr>
      </w:pPr>
      <w:r>
        <w:rPr>
          <w:rFonts w:hint="eastAsia" w:asciiTheme="minorEastAsia" w:hAnsiTheme="minorEastAsia"/>
          <w:b/>
          <w:sz w:val="24"/>
          <w:szCs w:val="24"/>
        </w:rPr>
        <w:t>药品品种/费用构成统计</w:t>
      </w:r>
    </w:p>
    <w:p w14:paraId="22DBE2CC">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医院药品品种数统计表</w:t>
      </w:r>
    </w:p>
    <w:p w14:paraId="689860C8">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病人药品费用构成分析表</w:t>
      </w:r>
    </w:p>
    <w:p w14:paraId="38C5CD18">
      <w:pPr>
        <w:pStyle w:val="43"/>
        <w:numPr>
          <w:ilvl w:val="1"/>
          <w:numId w:val="39"/>
        </w:numPr>
        <w:spacing w:line="360" w:lineRule="auto"/>
        <w:ind w:firstLineChars="0"/>
        <w:rPr>
          <w:rFonts w:hint="eastAsia" w:asciiTheme="minorEastAsia" w:hAnsiTheme="minorEastAsia"/>
          <w:b/>
          <w:sz w:val="24"/>
          <w:szCs w:val="24"/>
        </w:rPr>
      </w:pPr>
      <w:r>
        <w:rPr>
          <w:rFonts w:hint="eastAsia" w:asciiTheme="minorEastAsia" w:hAnsiTheme="minorEastAsia"/>
          <w:b/>
          <w:sz w:val="24"/>
          <w:szCs w:val="24"/>
        </w:rPr>
        <w:t>门急诊大处方情况统计</w:t>
      </w:r>
    </w:p>
    <w:p w14:paraId="1759F5E7">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门急诊处方药品品种超过N种统计表</w:t>
      </w:r>
    </w:p>
    <w:p w14:paraId="713B4CC5">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门急诊处方药品金额超过N元统计表</w:t>
      </w:r>
    </w:p>
    <w:p w14:paraId="0AFD2811">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门急诊处方药品日均金额超过N元统计表</w:t>
      </w:r>
    </w:p>
    <w:p w14:paraId="2CF6C974">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门急诊处方药品用药天数统计表</w:t>
      </w:r>
    </w:p>
    <w:p w14:paraId="129B203D">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门急诊处方药品用药天数人次排名表</w:t>
      </w:r>
    </w:p>
    <w:p w14:paraId="6430875E">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门急诊病人多次就诊清单表</w:t>
      </w:r>
    </w:p>
    <w:p w14:paraId="34C61EBB">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门急诊病人多次就诊药品累计清单表</w:t>
      </w:r>
    </w:p>
    <w:p w14:paraId="2F95AFE5">
      <w:pPr>
        <w:pStyle w:val="43"/>
        <w:numPr>
          <w:ilvl w:val="1"/>
          <w:numId w:val="39"/>
        </w:numPr>
        <w:spacing w:line="360" w:lineRule="auto"/>
        <w:ind w:firstLineChars="0"/>
        <w:rPr>
          <w:rFonts w:hint="eastAsia" w:asciiTheme="minorEastAsia" w:hAnsiTheme="minorEastAsia"/>
          <w:b/>
          <w:sz w:val="24"/>
          <w:szCs w:val="24"/>
        </w:rPr>
      </w:pPr>
      <w:r>
        <w:rPr>
          <w:rFonts w:hint="eastAsia" w:asciiTheme="minorEastAsia" w:hAnsiTheme="minorEastAsia"/>
          <w:b/>
          <w:sz w:val="24"/>
          <w:szCs w:val="24"/>
        </w:rPr>
        <w:t>注射药物使用情况统计</w:t>
      </w:r>
    </w:p>
    <w:p w14:paraId="1C89B45E">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注射剂使用情况统计表</w:t>
      </w:r>
    </w:p>
    <w:p w14:paraId="69D93B42">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大容量注射液使用情况统计表</w:t>
      </w:r>
    </w:p>
    <w:p w14:paraId="4DC34D42">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静脉输液使用情况统计表</w:t>
      </w:r>
    </w:p>
    <w:p w14:paraId="5877C799">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门急诊患者静脉输液使用情况统计表</w:t>
      </w:r>
    </w:p>
    <w:p w14:paraId="063124A2">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住出院患者静脉输液使用情况统计表</w:t>
      </w:r>
    </w:p>
    <w:p w14:paraId="26570B7B">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静脉输液使用数量和金额排名前十位药品</w:t>
      </w:r>
    </w:p>
    <w:p w14:paraId="74604319">
      <w:pPr>
        <w:pStyle w:val="43"/>
        <w:numPr>
          <w:ilvl w:val="1"/>
          <w:numId w:val="39"/>
        </w:numPr>
        <w:spacing w:line="360" w:lineRule="auto"/>
        <w:ind w:firstLineChars="0"/>
        <w:rPr>
          <w:rFonts w:hint="eastAsia" w:asciiTheme="minorEastAsia" w:hAnsiTheme="minorEastAsia"/>
          <w:b/>
          <w:sz w:val="24"/>
          <w:szCs w:val="24"/>
        </w:rPr>
      </w:pPr>
      <w:r>
        <w:rPr>
          <w:rFonts w:hint="eastAsia" w:asciiTheme="minorEastAsia" w:hAnsiTheme="minorEastAsia"/>
          <w:b/>
          <w:sz w:val="24"/>
          <w:szCs w:val="24"/>
        </w:rPr>
        <w:t>抗菌药物使用情况统计</w:t>
      </w:r>
    </w:p>
    <w:p w14:paraId="2BFB18FC">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送检率计算</w:t>
      </w:r>
    </w:p>
    <w:p w14:paraId="5AFA3B9C">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越权用药统计表</w:t>
      </w:r>
    </w:p>
    <w:p w14:paraId="4CCDB520">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门急诊处方抗菌药物使用情况清单表</w:t>
      </w:r>
    </w:p>
    <w:p w14:paraId="0AAA6438">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门急诊病人抗菌药物使用情况清单表</w:t>
      </w:r>
    </w:p>
    <w:p w14:paraId="45D378C8">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出院病人抗菌药物使用情况清单表</w:t>
      </w:r>
    </w:p>
    <w:p w14:paraId="5CCD7296">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出院病人围术期抗菌药物使用情况清单表</w:t>
      </w:r>
    </w:p>
    <w:p w14:paraId="50B1CDD7">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某疾病治疗效果与抗菌药物使用情况分析表</w:t>
      </w:r>
    </w:p>
    <w:p w14:paraId="503299C8">
      <w:pPr>
        <w:pStyle w:val="43"/>
        <w:numPr>
          <w:ilvl w:val="1"/>
          <w:numId w:val="39"/>
        </w:numPr>
        <w:spacing w:line="360" w:lineRule="auto"/>
        <w:ind w:firstLineChars="0"/>
        <w:rPr>
          <w:rFonts w:hint="eastAsia" w:asciiTheme="minorEastAsia" w:hAnsiTheme="minorEastAsia"/>
          <w:b/>
          <w:sz w:val="24"/>
          <w:szCs w:val="24"/>
        </w:rPr>
      </w:pPr>
      <w:r>
        <w:rPr>
          <w:rFonts w:hint="eastAsia" w:asciiTheme="minorEastAsia" w:hAnsiTheme="minorEastAsia"/>
          <w:b/>
          <w:sz w:val="24"/>
          <w:szCs w:val="24"/>
        </w:rPr>
        <w:t>基本药物使用情况统计</w:t>
      </w:r>
    </w:p>
    <w:p w14:paraId="40425DFB">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基本药物使用情况统计表</w:t>
      </w:r>
    </w:p>
    <w:p w14:paraId="4D1C353C">
      <w:pPr>
        <w:pStyle w:val="43"/>
        <w:numPr>
          <w:ilvl w:val="1"/>
          <w:numId w:val="39"/>
        </w:numPr>
        <w:spacing w:line="360" w:lineRule="auto"/>
        <w:ind w:firstLineChars="0"/>
        <w:rPr>
          <w:rFonts w:hint="eastAsia" w:asciiTheme="minorEastAsia" w:hAnsiTheme="minorEastAsia"/>
          <w:b/>
          <w:sz w:val="24"/>
          <w:szCs w:val="24"/>
        </w:rPr>
      </w:pPr>
      <w:r>
        <w:rPr>
          <w:rFonts w:hint="eastAsia" w:asciiTheme="minorEastAsia" w:hAnsiTheme="minorEastAsia"/>
          <w:b/>
          <w:sz w:val="24"/>
          <w:szCs w:val="24"/>
        </w:rPr>
        <w:t>重点监控药物使用情况统计</w:t>
      </w:r>
    </w:p>
    <w:p w14:paraId="4E330A79">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重点监控合理用药药品监测指标</w:t>
      </w:r>
    </w:p>
    <w:p w14:paraId="1725AF55">
      <w:pPr>
        <w:pStyle w:val="43"/>
        <w:numPr>
          <w:ilvl w:val="1"/>
          <w:numId w:val="39"/>
        </w:numPr>
        <w:spacing w:line="360" w:lineRule="auto"/>
        <w:ind w:firstLineChars="0"/>
        <w:rPr>
          <w:rFonts w:hint="eastAsia" w:asciiTheme="minorEastAsia" w:hAnsiTheme="minorEastAsia"/>
          <w:b/>
          <w:sz w:val="24"/>
          <w:szCs w:val="24"/>
        </w:rPr>
      </w:pPr>
      <w:r>
        <w:rPr>
          <w:rFonts w:hint="eastAsia" w:asciiTheme="minorEastAsia" w:hAnsiTheme="minorEastAsia"/>
          <w:b/>
          <w:sz w:val="24"/>
          <w:szCs w:val="24"/>
        </w:rPr>
        <w:t>麻醉/精神药物使用情况统计</w:t>
      </w:r>
    </w:p>
    <w:p w14:paraId="1BC40E86">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麻醉/精神药品处方登记表</w:t>
      </w:r>
    </w:p>
    <w:p w14:paraId="4B6DD876">
      <w:pPr>
        <w:pStyle w:val="43"/>
        <w:numPr>
          <w:ilvl w:val="1"/>
          <w:numId w:val="39"/>
        </w:numPr>
        <w:spacing w:line="360" w:lineRule="auto"/>
        <w:ind w:firstLineChars="0"/>
        <w:rPr>
          <w:rFonts w:hint="eastAsia" w:asciiTheme="minorEastAsia" w:hAnsiTheme="minorEastAsia"/>
          <w:b/>
          <w:sz w:val="24"/>
          <w:szCs w:val="24"/>
        </w:rPr>
      </w:pPr>
      <w:r>
        <w:rPr>
          <w:rFonts w:hint="eastAsia" w:asciiTheme="minorEastAsia" w:hAnsiTheme="minorEastAsia"/>
          <w:b/>
          <w:sz w:val="24"/>
          <w:szCs w:val="24"/>
        </w:rPr>
        <w:t>国家三级公立医院绩效考核指标</w:t>
      </w:r>
    </w:p>
    <w:p w14:paraId="50160008">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国家三级公立医院绩效评价指标(医院)</w:t>
      </w:r>
    </w:p>
    <w:p w14:paraId="770C1296">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国家三级公立医院绩效评价指标(科室)</w:t>
      </w:r>
    </w:p>
    <w:p w14:paraId="253202F9">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国家三级公立中医医院绩效评价指标(医院)</w:t>
      </w:r>
    </w:p>
    <w:p w14:paraId="0AA8D550">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剔除药品使用情况统计表</w:t>
      </w:r>
    </w:p>
    <w:p w14:paraId="0A0C2326">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罕见病药品使用情况统计表</w:t>
      </w:r>
    </w:p>
    <w:p w14:paraId="0EAD2E6B">
      <w:pPr>
        <w:pStyle w:val="43"/>
        <w:numPr>
          <w:ilvl w:val="1"/>
          <w:numId w:val="39"/>
        </w:numPr>
        <w:spacing w:line="360" w:lineRule="auto"/>
        <w:ind w:firstLineChars="0"/>
        <w:rPr>
          <w:rFonts w:hint="eastAsia" w:asciiTheme="minorEastAsia" w:hAnsiTheme="minorEastAsia"/>
          <w:b/>
          <w:sz w:val="24"/>
          <w:szCs w:val="24"/>
        </w:rPr>
      </w:pPr>
      <w:r>
        <w:rPr>
          <w:rFonts w:hint="eastAsia" w:asciiTheme="minorEastAsia" w:hAnsiTheme="minorEastAsia"/>
          <w:b/>
          <w:sz w:val="24"/>
          <w:szCs w:val="24"/>
        </w:rPr>
        <w:t>药事管理专业医疗质量控制指标</w:t>
      </w:r>
    </w:p>
    <w:p w14:paraId="24DA6889">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药事管理专业医疗质量控制指标</w:t>
      </w:r>
    </w:p>
    <w:p w14:paraId="69E902F1">
      <w:pPr>
        <w:pStyle w:val="43"/>
        <w:numPr>
          <w:ilvl w:val="1"/>
          <w:numId w:val="39"/>
        </w:numPr>
        <w:spacing w:line="360" w:lineRule="auto"/>
        <w:ind w:firstLineChars="0"/>
        <w:rPr>
          <w:rFonts w:hint="eastAsia" w:asciiTheme="minorEastAsia" w:hAnsiTheme="minorEastAsia"/>
          <w:b/>
          <w:sz w:val="24"/>
          <w:szCs w:val="24"/>
        </w:rPr>
      </w:pPr>
      <w:r>
        <w:rPr>
          <w:rFonts w:hint="eastAsia" w:asciiTheme="minorEastAsia" w:hAnsiTheme="minorEastAsia"/>
          <w:b/>
          <w:sz w:val="24"/>
          <w:szCs w:val="24"/>
        </w:rPr>
        <w:t>抗肿瘤药物临床应用情况调查表</w:t>
      </w:r>
    </w:p>
    <w:p w14:paraId="2B22DA14">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抗肿瘤药物临床应用情况调查表</w:t>
      </w:r>
    </w:p>
    <w:p w14:paraId="7314F4C6">
      <w:pPr>
        <w:pStyle w:val="43"/>
        <w:numPr>
          <w:ilvl w:val="1"/>
          <w:numId w:val="39"/>
        </w:numPr>
        <w:spacing w:line="360" w:lineRule="auto"/>
        <w:ind w:firstLineChars="0"/>
        <w:rPr>
          <w:rFonts w:hint="eastAsia" w:asciiTheme="minorEastAsia" w:hAnsiTheme="minorEastAsia"/>
          <w:b/>
          <w:sz w:val="24"/>
          <w:szCs w:val="24"/>
        </w:rPr>
      </w:pPr>
      <w:r>
        <w:rPr>
          <w:rFonts w:hint="eastAsia" w:asciiTheme="minorEastAsia" w:hAnsiTheme="minorEastAsia"/>
          <w:b/>
          <w:sz w:val="24"/>
          <w:szCs w:val="24"/>
        </w:rPr>
        <w:t>全国合理用药监测系统数据统计</w:t>
      </w:r>
    </w:p>
    <w:p w14:paraId="05FF4306">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药物临床应用监测信息(西药、中成药)</w:t>
      </w:r>
    </w:p>
    <w:p w14:paraId="2CBAF0A8">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处方监测信息(门急诊处方)</w:t>
      </w:r>
    </w:p>
    <w:p w14:paraId="1AAF2EB5">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处方监测信息(医嘱)</w:t>
      </w:r>
    </w:p>
    <w:p w14:paraId="4D9F88C8">
      <w:pPr>
        <w:pStyle w:val="43"/>
        <w:numPr>
          <w:ilvl w:val="1"/>
          <w:numId w:val="39"/>
        </w:numPr>
        <w:spacing w:line="360" w:lineRule="auto"/>
        <w:ind w:firstLineChars="0"/>
        <w:rPr>
          <w:rFonts w:hint="eastAsia" w:asciiTheme="minorEastAsia" w:hAnsiTheme="minorEastAsia"/>
          <w:b/>
          <w:sz w:val="24"/>
          <w:szCs w:val="24"/>
        </w:rPr>
      </w:pPr>
      <w:r>
        <w:rPr>
          <w:rFonts w:hint="eastAsia" w:asciiTheme="minorEastAsia" w:hAnsiTheme="minorEastAsia"/>
          <w:b/>
          <w:sz w:val="24"/>
          <w:szCs w:val="24"/>
        </w:rPr>
        <w:t>全国抗菌药物临床应用管理数据统计</w:t>
      </w:r>
    </w:p>
    <w:p w14:paraId="7C4F2EE1">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抗菌药物临床应用管理评价指标及要求报表</w:t>
      </w:r>
    </w:p>
    <w:p w14:paraId="04C65FDC">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医疗机构含酶抑制剂复合制剂抗菌药物使用情况信息表</w:t>
      </w:r>
    </w:p>
    <w:p w14:paraId="4958209C">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医疗机构碳青霉烯类抗菌药物及替加环素使用情况信息表</w:t>
      </w:r>
    </w:p>
    <w:p w14:paraId="54E7E886">
      <w:pPr>
        <w:pStyle w:val="43"/>
        <w:numPr>
          <w:ilvl w:val="1"/>
          <w:numId w:val="39"/>
        </w:numPr>
        <w:spacing w:line="360" w:lineRule="auto"/>
        <w:ind w:firstLineChars="0"/>
        <w:rPr>
          <w:rFonts w:hint="eastAsia" w:asciiTheme="minorEastAsia" w:hAnsiTheme="minorEastAsia"/>
          <w:b/>
          <w:sz w:val="24"/>
          <w:szCs w:val="24"/>
        </w:rPr>
      </w:pPr>
      <w:r>
        <w:rPr>
          <w:rFonts w:hint="eastAsia" w:asciiTheme="minorEastAsia" w:hAnsiTheme="minorEastAsia"/>
          <w:b/>
          <w:sz w:val="24"/>
          <w:szCs w:val="24"/>
        </w:rPr>
        <w:t>国家卫生健康委抗菌药物临床应用管理</w:t>
      </w:r>
    </w:p>
    <w:p w14:paraId="5FD02D13">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医疗机构一般情况调查</w:t>
      </w:r>
    </w:p>
    <w:p w14:paraId="505E2E48">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抗菌药物分级管理目录</w:t>
      </w:r>
    </w:p>
    <w:p w14:paraId="48226E13">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临床微生物标本送检率</w:t>
      </w:r>
    </w:p>
    <w:p w14:paraId="6BE5BAA6">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全院使用量排名前十位抗菌药物</w:t>
      </w:r>
    </w:p>
    <w:p w14:paraId="673653C9">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医疗机构药品经费使用情况调查表</w:t>
      </w:r>
    </w:p>
    <w:p w14:paraId="2A392C00">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医疗机构I类切口手术用药情况清单表</w:t>
      </w:r>
    </w:p>
    <w:p w14:paraId="6E59B7A4">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医疗机构I类切口手术用药情况调查表</w:t>
      </w:r>
    </w:p>
    <w:p w14:paraId="02E6FEE6">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医疗机构抗菌药物临床应用指标数据上报表</w:t>
      </w:r>
    </w:p>
    <w:p w14:paraId="72CD7BD1">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医疗机构抗菌药物品种、规格和使用量统计调查表</w:t>
      </w:r>
    </w:p>
    <w:p w14:paraId="5013FEF5">
      <w:pPr>
        <w:pStyle w:val="90"/>
        <w:numPr>
          <w:ilvl w:val="2"/>
          <w:numId w:val="39"/>
        </w:numPr>
        <w:tabs>
          <w:tab w:val="left" w:pos="1701"/>
          <w:tab w:val="clear" w:pos="1843"/>
        </w:tabs>
        <w:ind w:hanging="511"/>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临床科室指标(抗菌药物使用率、使用强度)持续改进情况统计表</w:t>
      </w:r>
    </w:p>
    <w:p w14:paraId="03A64501">
      <w:pPr>
        <w:pStyle w:val="4"/>
        <w:numPr>
          <w:ilvl w:val="0"/>
          <w:numId w:val="14"/>
        </w:numPr>
        <w:spacing w:line="360" w:lineRule="auto"/>
        <w:rPr>
          <w:rFonts w:hint="eastAsia" w:asciiTheme="minorEastAsia" w:hAnsiTheme="minorEastAsia"/>
          <w:sz w:val="28"/>
          <w:szCs w:val="28"/>
        </w:rPr>
      </w:pPr>
      <w:r>
        <w:rPr>
          <w:rFonts w:hint="eastAsia" w:asciiTheme="minorEastAsia" w:hAnsiTheme="minorEastAsia"/>
          <w:sz w:val="28"/>
          <w:szCs w:val="28"/>
        </w:rPr>
        <w:t>医药信息查询</w:t>
      </w:r>
    </w:p>
    <w:p w14:paraId="4D1266D6">
      <w:pPr>
        <w:pStyle w:val="43"/>
        <w:numPr>
          <w:ilvl w:val="0"/>
          <w:numId w:val="40"/>
        </w:numPr>
        <w:tabs>
          <w:tab w:val="left" w:pos="567"/>
        </w:tabs>
        <w:spacing w:line="360" w:lineRule="auto"/>
        <w:ind w:hanging="556" w:firstLineChars="0"/>
        <w:rPr>
          <w:rFonts w:hint="eastAsia" w:asciiTheme="minorEastAsia" w:hAnsiTheme="minorEastAsia"/>
          <w:b/>
          <w:bCs/>
          <w:sz w:val="24"/>
          <w:szCs w:val="24"/>
        </w:rPr>
      </w:pPr>
      <w:bookmarkStart w:id="64" w:name="_Toc334522336"/>
      <w:bookmarkStart w:id="65" w:name="_Toc368037167"/>
      <w:bookmarkStart w:id="66" w:name="_Toc423097806"/>
      <w:r>
        <w:rPr>
          <w:rFonts w:asciiTheme="minorEastAsia" w:hAnsiTheme="minorEastAsia"/>
          <w:b/>
          <w:bCs/>
          <w:sz w:val="24"/>
          <w:szCs w:val="24"/>
        </w:rPr>
        <w:t>合理用药查询功能</w:t>
      </w:r>
      <w:bookmarkEnd w:id="64"/>
      <w:bookmarkEnd w:id="65"/>
      <w:bookmarkEnd w:id="66"/>
    </w:p>
    <w:p w14:paraId="56000CB0">
      <w:pPr>
        <w:pStyle w:val="69"/>
        <w:numPr>
          <w:ilvl w:val="1"/>
          <w:numId w:val="41"/>
        </w:numPr>
        <w:spacing w:before="0" w:after="0"/>
        <w:ind w:left="993"/>
        <w:rPr>
          <w:rFonts w:hint="eastAsia"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药物专论</w:t>
      </w:r>
    </w:p>
    <w:p w14:paraId="5AF399D2">
      <w:pPr>
        <w:spacing w:line="360" w:lineRule="auto"/>
        <w:ind w:right="86" w:rightChars="41" w:firstLine="480"/>
        <w:rPr>
          <w:rFonts w:hint="eastAsia" w:cs="Arial" w:asciiTheme="minorEastAsia" w:hAnsiTheme="minorEastAsia"/>
          <w:bCs/>
          <w:sz w:val="24"/>
          <w:szCs w:val="24"/>
        </w:rPr>
      </w:pPr>
      <w:r>
        <w:rPr>
          <w:rFonts w:hint="eastAsia" w:cs="Arial" w:asciiTheme="minorEastAsia" w:hAnsiTheme="minorEastAsia"/>
          <w:bCs/>
          <w:sz w:val="24"/>
          <w:szCs w:val="24"/>
        </w:rPr>
        <w:t>国家药品监督管理局（NMPA）</w:t>
      </w:r>
      <w:r>
        <w:rPr>
          <w:rFonts w:cs="Arial" w:asciiTheme="minorEastAsia" w:hAnsiTheme="minorEastAsia"/>
          <w:bCs/>
          <w:sz w:val="24"/>
          <w:szCs w:val="24"/>
        </w:rPr>
        <w:t>药品审评中心监制，以通用名称为主线，</w:t>
      </w:r>
      <w:r>
        <w:rPr>
          <w:rFonts w:hint="eastAsia" w:cs="Arial" w:asciiTheme="minorEastAsia" w:hAnsiTheme="minorEastAsia"/>
          <w:bCs/>
          <w:sz w:val="24"/>
          <w:szCs w:val="24"/>
          <w:lang w:eastAsia="zh-CN"/>
        </w:rPr>
        <w:t>收录</w:t>
      </w:r>
      <w:r>
        <w:rPr>
          <w:rFonts w:cs="Arial" w:asciiTheme="minorEastAsia" w:hAnsiTheme="minorEastAsia"/>
          <w:bCs/>
          <w:sz w:val="24"/>
          <w:szCs w:val="24"/>
        </w:rPr>
        <w:t>国内上市药品及国外新上市药品的临床应用信息。是《</w:t>
      </w:r>
      <w:r>
        <w:rPr>
          <w:rFonts w:hint="eastAsia" w:cs="Arial" w:asciiTheme="minorEastAsia" w:hAnsiTheme="minorEastAsia"/>
          <w:bCs/>
          <w:sz w:val="24"/>
          <w:szCs w:val="24"/>
        </w:rPr>
        <w:t>MCDEX-</w:t>
      </w:r>
      <w:r>
        <w:rPr>
          <w:rFonts w:cs="Arial" w:asciiTheme="minorEastAsia" w:hAnsiTheme="minorEastAsia"/>
          <w:bCs/>
          <w:sz w:val="24"/>
          <w:szCs w:val="24"/>
        </w:rPr>
        <w:t>中国医师药师临床用药指南》</w:t>
      </w:r>
      <w:r>
        <w:rPr>
          <w:rFonts w:hint="eastAsia" w:cs="Arial" w:asciiTheme="minorEastAsia" w:hAnsiTheme="minorEastAsia"/>
          <w:bCs/>
          <w:sz w:val="24"/>
          <w:szCs w:val="24"/>
        </w:rPr>
        <w:t>（原</w:t>
      </w:r>
      <w:r>
        <w:rPr>
          <w:rFonts w:cs="Arial" w:asciiTheme="minorEastAsia" w:hAnsiTheme="minorEastAsia"/>
          <w:bCs/>
          <w:sz w:val="24"/>
          <w:szCs w:val="24"/>
        </w:rPr>
        <w:t>《</w:t>
      </w:r>
      <w:r>
        <w:rPr>
          <w:rFonts w:hint="eastAsia" w:cs="Arial" w:asciiTheme="minorEastAsia" w:hAnsiTheme="minorEastAsia"/>
          <w:bCs/>
          <w:sz w:val="24"/>
          <w:szCs w:val="24"/>
        </w:rPr>
        <w:t>MCDEX-</w:t>
      </w:r>
      <w:r>
        <w:rPr>
          <w:rFonts w:cs="Arial" w:asciiTheme="minorEastAsia" w:hAnsiTheme="minorEastAsia"/>
          <w:bCs/>
          <w:sz w:val="24"/>
          <w:szCs w:val="24"/>
        </w:rPr>
        <w:t>药物临床信息参考》</w:t>
      </w:r>
      <w:r>
        <w:rPr>
          <w:rFonts w:hint="eastAsia" w:cs="Arial" w:asciiTheme="minorEastAsia" w:hAnsiTheme="minorEastAsia"/>
          <w:bCs/>
          <w:sz w:val="24"/>
          <w:szCs w:val="24"/>
        </w:rPr>
        <w:t>）</w:t>
      </w:r>
      <w:r>
        <w:rPr>
          <w:rFonts w:cs="Arial" w:asciiTheme="minorEastAsia" w:hAnsiTheme="minorEastAsia"/>
          <w:bCs/>
          <w:sz w:val="24"/>
          <w:szCs w:val="24"/>
        </w:rPr>
        <w:t>的电子版，品种更全。内容包括药物的各种名称、药理、临床应用、注意事项、不良反应、相互作用、给药说明</w:t>
      </w:r>
      <w:r>
        <w:rPr>
          <w:rFonts w:hint="eastAsia" w:cs="Arial" w:asciiTheme="minorEastAsia" w:hAnsiTheme="minorEastAsia"/>
          <w:bCs/>
          <w:sz w:val="24"/>
          <w:szCs w:val="24"/>
        </w:rPr>
        <w:t>、相关时讯</w:t>
      </w:r>
      <w:r>
        <w:rPr>
          <w:rFonts w:cs="Arial" w:asciiTheme="minorEastAsia" w:hAnsiTheme="minorEastAsia"/>
          <w:bCs/>
          <w:sz w:val="24"/>
          <w:szCs w:val="24"/>
        </w:rPr>
        <w:t>、</w:t>
      </w:r>
      <w:r>
        <w:rPr>
          <w:rFonts w:hint="eastAsia" w:cs="Arial" w:asciiTheme="minorEastAsia" w:hAnsiTheme="minorEastAsia"/>
          <w:bCs/>
          <w:sz w:val="24"/>
          <w:szCs w:val="24"/>
        </w:rPr>
        <w:t>禁忌症、特殊人群、制剂与规格、给药说明、</w:t>
      </w:r>
      <w:r>
        <w:rPr>
          <w:rFonts w:cs="Arial" w:asciiTheme="minorEastAsia" w:hAnsiTheme="minorEastAsia"/>
          <w:bCs/>
          <w:sz w:val="24"/>
          <w:szCs w:val="24"/>
        </w:rPr>
        <w:t>用法与用量等信息</w:t>
      </w:r>
      <w:r>
        <w:rPr>
          <w:rFonts w:hint="eastAsia" w:cs="Arial" w:asciiTheme="minorEastAsia" w:hAnsiTheme="minorEastAsia"/>
          <w:bCs/>
          <w:sz w:val="24"/>
          <w:szCs w:val="24"/>
        </w:rPr>
        <w:t>，全面涵盖国内外上市品种信息，包括国外上市，国内未上市品种。</w:t>
      </w:r>
      <w:r>
        <w:rPr>
          <w:rFonts w:cs="Arial" w:asciiTheme="minorEastAsia" w:hAnsiTheme="minorEastAsia"/>
          <w:bCs/>
          <w:sz w:val="24"/>
          <w:szCs w:val="24"/>
        </w:rPr>
        <w:t>专论的论述详实性高于药品说明书，对临床用药具有专业的</w:t>
      </w:r>
      <w:r>
        <w:rPr>
          <w:rFonts w:hint="eastAsia" w:cs="Arial" w:asciiTheme="minorEastAsia" w:hAnsiTheme="minorEastAsia"/>
          <w:bCs/>
          <w:sz w:val="24"/>
          <w:szCs w:val="24"/>
        </w:rPr>
        <w:t>参考价值</w:t>
      </w:r>
      <w:r>
        <w:rPr>
          <w:rFonts w:cs="Arial" w:asciiTheme="minorEastAsia" w:hAnsiTheme="minorEastAsia"/>
          <w:bCs/>
          <w:sz w:val="24"/>
          <w:szCs w:val="24"/>
        </w:rPr>
        <w:t>。</w:t>
      </w:r>
    </w:p>
    <w:p w14:paraId="4E60FDFB">
      <w:pPr>
        <w:spacing w:line="360" w:lineRule="auto"/>
        <w:ind w:right="86" w:rightChars="41" w:firstLine="480"/>
        <w:rPr>
          <w:rFonts w:hint="eastAsia" w:cs="Arial" w:asciiTheme="minorEastAsia" w:hAnsiTheme="minorEastAsia"/>
          <w:bCs/>
          <w:sz w:val="24"/>
          <w:szCs w:val="24"/>
        </w:rPr>
      </w:pPr>
      <w:r>
        <w:rPr>
          <w:rFonts w:hint="eastAsia" w:cs="Arial" w:asciiTheme="minorEastAsia" w:hAnsiTheme="minorEastAsia"/>
          <w:bCs/>
          <w:sz w:val="24"/>
          <w:szCs w:val="24"/>
          <w:lang w:eastAsia="zh-CN"/>
        </w:rPr>
        <w:t>收录</w:t>
      </w:r>
      <w:r>
        <w:rPr>
          <w:rFonts w:hint="eastAsia" w:cs="Arial" w:asciiTheme="minorEastAsia" w:hAnsiTheme="minorEastAsia"/>
          <w:bCs/>
          <w:sz w:val="24"/>
          <w:szCs w:val="24"/>
        </w:rPr>
        <w:t>特殊人群（老人、儿童、妊娠期妇女、哺乳期妇女）及特殊疾病状态（如肝功能不全、肾功能不全、心力衰竭等）患者用药的注意事项。</w:t>
      </w:r>
    </w:p>
    <w:p w14:paraId="79FC6736">
      <w:pPr>
        <w:spacing w:line="360" w:lineRule="auto"/>
        <w:ind w:right="86" w:rightChars="41" w:firstLine="480"/>
        <w:rPr>
          <w:rFonts w:hint="eastAsia" w:cs="Arial" w:asciiTheme="minorEastAsia" w:hAnsiTheme="minorEastAsia"/>
          <w:bCs/>
          <w:sz w:val="24"/>
          <w:szCs w:val="24"/>
        </w:rPr>
      </w:pPr>
      <w:r>
        <w:rPr>
          <w:rFonts w:hint="eastAsia" w:cs="Arial" w:asciiTheme="minorEastAsia" w:hAnsiTheme="minorEastAsia"/>
          <w:bCs/>
          <w:sz w:val="24"/>
          <w:szCs w:val="24"/>
          <w:lang w:eastAsia="zh-CN"/>
        </w:rPr>
        <w:t>收录</w:t>
      </w:r>
      <w:r>
        <w:rPr>
          <w:rFonts w:hint="eastAsia" w:cs="Arial" w:asciiTheme="minorEastAsia" w:hAnsiTheme="minorEastAsia"/>
          <w:bCs/>
          <w:sz w:val="24"/>
          <w:szCs w:val="24"/>
        </w:rPr>
        <w:t>药物不良反应的处理方法、药物对检验值或诊断的影响信息。</w:t>
      </w:r>
    </w:p>
    <w:p w14:paraId="63108B6F">
      <w:pPr>
        <w:spacing w:line="360" w:lineRule="auto"/>
        <w:ind w:right="86" w:rightChars="41" w:firstLine="480"/>
        <w:rPr>
          <w:rFonts w:hint="eastAsia" w:cs="Arial" w:asciiTheme="minorEastAsia" w:hAnsiTheme="minorEastAsia"/>
          <w:bCs/>
          <w:sz w:val="24"/>
          <w:szCs w:val="24"/>
        </w:rPr>
      </w:pPr>
      <w:r>
        <w:rPr>
          <w:rFonts w:hint="eastAsia" w:cs="Arial" w:asciiTheme="minorEastAsia" w:hAnsiTheme="minorEastAsia"/>
          <w:bCs/>
          <w:sz w:val="24"/>
          <w:szCs w:val="24"/>
          <w:lang w:eastAsia="zh-CN"/>
        </w:rPr>
        <w:t>收录</w:t>
      </w:r>
      <w:r>
        <w:rPr>
          <w:rFonts w:hint="eastAsia" w:cs="Arial" w:asciiTheme="minorEastAsia" w:hAnsiTheme="minorEastAsia"/>
          <w:bCs/>
          <w:sz w:val="24"/>
          <w:szCs w:val="24"/>
        </w:rPr>
        <w:t>高警讯药物、国外专科用药信息。</w:t>
      </w:r>
    </w:p>
    <w:p w14:paraId="0CC2153E">
      <w:pPr>
        <w:spacing w:line="360" w:lineRule="auto"/>
        <w:ind w:right="86" w:rightChars="41" w:firstLine="480"/>
        <w:rPr>
          <w:rFonts w:hint="eastAsia" w:cs="Arial" w:asciiTheme="minorEastAsia" w:hAnsiTheme="minorEastAsia"/>
          <w:bCs/>
          <w:sz w:val="24"/>
          <w:szCs w:val="24"/>
        </w:rPr>
      </w:pPr>
      <w:r>
        <w:rPr>
          <w:rFonts w:cs="Arial" w:asciiTheme="minorEastAsia" w:hAnsiTheme="minorEastAsia"/>
          <w:bCs/>
          <w:sz w:val="24"/>
          <w:szCs w:val="24"/>
        </w:rPr>
        <w:t>药物专论中的信息均能提供原始出处。</w:t>
      </w:r>
    </w:p>
    <w:p w14:paraId="0CB59EED">
      <w:pPr>
        <w:pStyle w:val="69"/>
        <w:numPr>
          <w:ilvl w:val="1"/>
          <w:numId w:val="41"/>
        </w:numPr>
        <w:spacing w:before="0" w:after="0"/>
        <w:ind w:left="993"/>
        <w:rPr>
          <w:rFonts w:hint="eastAsia"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药品说明书</w:t>
      </w:r>
    </w:p>
    <w:p w14:paraId="2E9EB4CD">
      <w:pPr>
        <w:spacing w:line="360" w:lineRule="auto"/>
        <w:ind w:right="86" w:rightChars="41" w:firstLine="480" w:firstLineChars="200"/>
        <w:rPr>
          <w:rFonts w:hint="eastAsia" w:cs="Arial" w:asciiTheme="minorEastAsia" w:hAnsiTheme="minorEastAsia"/>
          <w:bCs/>
          <w:sz w:val="24"/>
          <w:szCs w:val="24"/>
        </w:rPr>
      </w:pPr>
      <w:r>
        <w:rPr>
          <w:rFonts w:hint="eastAsia" w:cs="Arial" w:asciiTheme="minorEastAsia" w:hAnsiTheme="minorEastAsia"/>
          <w:bCs/>
          <w:sz w:val="24"/>
          <w:szCs w:val="24"/>
          <w:lang w:eastAsia="zh-CN"/>
        </w:rPr>
        <w:t>收录</w:t>
      </w:r>
      <w:r>
        <w:rPr>
          <w:rFonts w:hint="eastAsia" w:cs="Arial" w:asciiTheme="minorEastAsia" w:hAnsiTheme="minorEastAsia"/>
          <w:bCs/>
          <w:sz w:val="24"/>
          <w:szCs w:val="24"/>
        </w:rPr>
        <w:t>国家药品监督管理局（NMPA）核准的药品说明书原文。</w:t>
      </w:r>
      <w:r>
        <w:rPr>
          <w:rFonts w:cs="Arial" w:asciiTheme="minorEastAsia" w:hAnsiTheme="minorEastAsia"/>
          <w:bCs/>
          <w:sz w:val="24"/>
          <w:szCs w:val="24"/>
        </w:rPr>
        <w:t>全面覆盖临床在用</w:t>
      </w:r>
      <w:r>
        <w:rPr>
          <w:rFonts w:hint="eastAsia" w:cs="Arial" w:asciiTheme="minorEastAsia" w:hAnsiTheme="minorEastAsia"/>
          <w:bCs/>
          <w:sz w:val="24"/>
          <w:szCs w:val="24"/>
        </w:rPr>
        <w:t>药品，</w:t>
      </w:r>
      <w:r>
        <w:rPr>
          <w:rFonts w:cs="Arial" w:asciiTheme="minorEastAsia" w:hAnsiTheme="minorEastAsia"/>
          <w:bCs/>
          <w:sz w:val="24"/>
          <w:szCs w:val="24"/>
        </w:rPr>
        <w:t>可</w:t>
      </w:r>
      <w:r>
        <w:rPr>
          <w:rFonts w:hint="eastAsia" w:cs="Arial" w:asciiTheme="minorEastAsia" w:hAnsiTheme="minorEastAsia"/>
          <w:bCs/>
          <w:sz w:val="24"/>
          <w:szCs w:val="24"/>
        </w:rPr>
        <w:t>查询NMPA发布的说明书修订/勘误信息。支持高级检索。</w:t>
      </w:r>
    </w:p>
    <w:p w14:paraId="198AF9FC">
      <w:pPr>
        <w:pStyle w:val="71"/>
        <w:numPr>
          <w:ilvl w:val="1"/>
          <w:numId w:val="41"/>
        </w:numPr>
        <w:spacing w:before="0" w:after="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用药教育</w:t>
      </w:r>
    </w:p>
    <w:p w14:paraId="03A50667">
      <w:pPr>
        <w:spacing w:line="360" w:lineRule="auto"/>
        <w:ind w:right="86" w:rightChars="41" w:firstLine="470" w:firstLineChars="196"/>
        <w:rPr>
          <w:rFonts w:hint="eastAsia" w:cs="Arial" w:asciiTheme="minorEastAsia" w:hAnsiTheme="minorEastAsia"/>
          <w:bCs/>
          <w:sz w:val="24"/>
          <w:szCs w:val="24"/>
        </w:rPr>
      </w:pPr>
      <w:r>
        <w:rPr>
          <w:rFonts w:hint="eastAsia" w:cs="Arial" w:asciiTheme="minorEastAsia" w:hAnsiTheme="minorEastAsia"/>
          <w:kern w:val="0"/>
          <w:sz w:val="24"/>
          <w:szCs w:val="24"/>
        </w:rPr>
        <w:t>采用图文和问答形式，</w:t>
      </w:r>
      <w:r>
        <w:rPr>
          <w:rFonts w:cs="Arial" w:asciiTheme="minorEastAsia" w:hAnsiTheme="minorEastAsia"/>
          <w:kern w:val="0"/>
          <w:sz w:val="24"/>
          <w:szCs w:val="24"/>
        </w:rPr>
        <w:t>用</w:t>
      </w:r>
      <w:r>
        <w:rPr>
          <w:rFonts w:hint="eastAsia" w:cs="Arial" w:asciiTheme="minorEastAsia" w:hAnsiTheme="minorEastAsia"/>
          <w:kern w:val="0"/>
          <w:sz w:val="24"/>
          <w:szCs w:val="24"/>
        </w:rPr>
        <w:t>通俗易懂</w:t>
      </w:r>
      <w:r>
        <w:rPr>
          <w:rFonts w:cs="Arial" w:asciiTheme="minorEastAsia" w:hAnsiTheme="minorEastAsia"/>
          <w:kern w:val="0"/>
          <w:sz w:val="24"/>
          <w:szCs w:val="24"/>
        </w:rPr>
        <w:t>的语言阐述了药品的用途、如何用药、</w:t>
      </w:r>
      <w:r>
        <w:rPr>
          <w:rFonts w:hint="eastAsia" w:cs="Arial" w:asciiTheme="minorEastAsia" w:hAnsiTheme="minorEastAsia"/>
          <w:kern w:val="0"/>
          <w:sz w:val="24"/>
          <w:szCs w:val="24"/>
        </w:rPr>
        <w:t>用药期间</w:t>
      </w:r>
      <w:r>
        <w:rPr>
          <w:rFonts w:cs="Arial" w:asciiTheme="minorEastAsia" w:hAnsiTheme="minorEastAsia"/>
          <w:kern w:val="0"/>
          <w:sz w:val="24"/>
          <w:szCs w:val="24"/>
        </w:rPr>
        <w:t>的注意事项、</w:t>
      </w:r>
      <w:r>
        <w:rPr>
          <w:rFonts w:hint="eastAsia" w:cs="Arial" w:asciiTheme="minorEastAsia" w:hAnsiTheme="minorEastAsia"/>
          <w:kern w:val="0"/>
          <w:sz w:val="24"/>
          <w:szCs w:val="24"/>
        </w:rPr>
        <w:t>副作用、</w:t>
      </w:r>
      <w:r>
        <w:rPr>
          <w:rFonts w:cs="Arial" w:asciiTheme="minorEastAsia" w:hAnsiTheme="minorEastAsia"/>
          <w:kern w:val="0"/>
          <w:sz w:val="24"/>
          <w:szCs w:val="24"/>
        </w:rPr>
        <w:t>特殊给药方式图示</w:t>
      </w:r>
      <w:r>
        <w:rPr>
          <w:rFonts w:hint="eastAsia" w:cs="Arial" w:asciiTheme="minorEastAsia" w:hAnsiTheme="minorEastAsia"/>
          <w:kern w:val="0"/>
          <w:sz w:val="24"/>
          <w:szCs w:val="24"/>
        </w:rPr>
        <w:t>、用药常识</w:t>
      </w:r>
      <w:r>
        <w:rPr>
          <w:rFonts w:cs="Arial" w:asciiTheme="minorEastAsia" w:hAnsiTheme="minorEastAsia"/>
          <w:kern w:val="0"/>
          <w:sz w:val="24"/>
          <w:szCs w:val="24"/>
        </w:rPr>
        <w:t>等内容，方便医疗卫生技术人员开展病人用药咨询和用药教育服务。</w:t>
      </w:r>
    </w:p>
    <w:p w14:paraId="6CF34654">
      <w:pPr>
        <w:pStyle w:val="71"/>
        <w:numPr>
          <w:ilvl w:val="1"/>
          <w:numId w:val="41"/>
        </w:numPr>
        <w:spacing w:before="0" w:after="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I</w:t>
      </w:r>
      <w:r>
        <w:rPr>
          <w:rFonts w:asciiTheme="minorEastAsia" w:hAnsiTheme="minorEastAsia" w:eastAsiaTheme="minorEastAsia"/>
          <w:sz w:val="24"/>
          <w:szCs w:val="24"/>
        </w:rPr>
        <w:t>CD</w:t>
      </w:r>
      <w:r>
        <w:rPr>
          <w:rFonts w:hint="eastAsia" w:asciiTheme="minorEastAsia" w:hAnsiTheme="minorEastAsia" w:eastAsiaTheme="minorEastAsia"/>
          <w:sz w:val="24"/>
          <w:szCs w:val="24"/>
        </w:rPr>
        <w:t>编码</w:t>
      </w:r>
    </w:p>
    <w:p w14:paraId="4BDDE519">
      <w:pPr>
        <w:spacing w:line="360" w:lineRule="auto"/>
        <w:ind w:right="86" w:rightChars="41" w:firstLine="480" w:firstLineChars="200"/>
        <w:rPr>
          <w:rFonts w:hint="eastAsia" w:cs="Arial" w:asciiTheme="minorEastAsia" w:hAnsiTheme="minorEastAsia"/>
          <w:bCs/>
          <w:sz w:val="24"/>
          <w:szCs w:val="24"/>
        </w:rPr>
      </w:pPr>
      <w:r>
        <w:rPr>
          <w:rFonts w:hint="eastAsia" w:cs="Arial" w:asciiTheme="minorEastAsia" w:hAnsiTheme="minorEastAsia"/>
          <w:bCs/>
          <w:sz w:val="24"/>
          <w:szCs w:val="24"/>
        </w:rPr>
        <w:t>提供国家临床版</w:t>
      </w:r>
      <w:r>
        <w:rPr>
          <w:rFonts w:cs="Arial" w:asciiTheme="minorEastAsia" w:hAnsiTheme="minorEastAsia"/>
          <w:bCs/>
          <w:sz w:val="24"/>
          <w:szCs w:val="24"/>
        </w:rPr>
        <w:t xml:space="preserve">、医保版的ICD-10、 ICD-9-CM-3、 </w:t>
      </w:r>
      <w:r>
        <w:rPr>
          <w:rFonts w:hint="eastAsia" w:cs="Arial" w:asciiTheme="minorEastAsia" w:hAnsiTheme="minorEastAsia"/>
          <w:bCs/>
          <w:sz w:val="24"/>
          <w:szCs w:val="24"/>
        </w:rPr>
        <w:t>肿瘤形态学编码，以及国家临床版和医保版的对照查询。提供</w:t>
      </w:r>
      <w:r>
        <w:rPr>
          <w:rFonts w:cs="Arial" w:asciiTheme="minorEastAsia" w:hAnsiTheme="minorEastAsia"/>
          <w:bCs/>
          <w:sz w:val="24"/>
          <w:szCs w:val="24"/>
        </w:rPr>
        <w:t>ICD-11和国家医疗保障疾病诊断相关分组(CHS-DRG)细分组查询。</w:t>
      </w:r>
    </w:p>
    <w:p w14:paraId="1AAACF2B">
      <w:pPr>
        <w:pStyle w:val="71"/>
        <w:numPr>
          <w:ilvl w:val="1"/>
          <w:numId w:val="41"/>
        </w:numPr>
        <w:spacing w:before="0" w:after="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ATC编码与DDD值</w:t>
      </w:r>
    </w:p>
    <w:p w14:paraId="25DA6B5B">
      <w:pPr>
        <w:spacing w:line="360" w:lineRule="auto"/>
        <w:ind w:right="86" w:rightChars="41" w:firstLine="480" w:firstLineChars="200"/>
        <w:rPr>
          <w:rFonts w:hint="eastAsia" w:cs="Arial" w:asciiTheme="minorEastAsia" w:hAnsiTheme="minorEastAsia"/>
          <w:sz w:val="24"/>
          <w:szCs w:val="24"/>
        </w:rPr>
      </w:pPr>
      <w:r>
        <w:rPr>
          <w:rFonts w:hint="eastAsia" w:cs="Arial" w:asciiTheme="minorEastAsia" w:hAnsiTheme="minorEastAsia"/>
          <w:sz w:val="24"/>
          <w:szCs w:val="24"/>
          <w:lang w:eastAsia="zh-CN"/>
        </w:rPr>
        <w:t>收录</w:t>
      </w:r>
      <w:r>
        <w:rPr>
          <w:rFonts w:hint="eastAsia" w:cs="Arial" w:asciiTheme="minorEastAsia" w:hAnsiTheme="minorEastAsia"/>
          <w:sz w:val="24"/>
          <w:szCs w:val="24"/>
        </w:rPr>
        <w:t>全国抗菌药物临床应用监测网和世界卫生组织（WHO）官网发布的ATC/DDD索引中的药物ATC编码与DDD值。并与国家药品监督管理局（NMPA）批准上市的药品建立了对应关系，方便查询上市药品的ATC分类与DDD值。</w:t>
      </w:r>
    </w:p>
    <w:p w14:paraId="47554784">
      <w:pPr>
        <w:pStyle w:val="71"/>
        <w:numPr>
          <w:ilvl w:val="1"/>
          <w:numId w:val="41"/>
        </w:numPr>
        <w:spacing w:before="0" w:after="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检验值</w:t>
      </w:r>
    </w:p>
    <w:p w14:paraId="2DA57B68">
      <w:pPr>
        <w:spacing w:line="360" w:lineRule="auto"/>
        <w:ind w:right="86" w:rightChars="41" w:firstLine="470" w:firstLineChars="196"/>
        <w:rPr>
          <w:rFonts w:hint="eastAsia" w:cs="Arial" w:asciiTheme="minorEastAsia" w:hAnsiTheme="minorEastAsia"/>
          <w:bCs/>
          <w:sz w:val="24"/>
          <w:szCs w:val="24"/>
        </w:rPr>
      </w:pPr>
      <w:r>
        <w:rPr>
          <w:rFonts w:hint="eastAsia" w:cs="Arial" w:asciiTheme="minorEastAsia" w:hAnsiTheme="minorEastAsia"/>
          <w:bCs/>
          <w:sz w:val="24"/>
          <w:szCs w:val="24"/>
        </w:rPr>
        <w:t>提供临床常用检验项目的参考信息，重点解读检验结果的临床意义及药物对检验值的影响。内容包括检验项目基本信息、适应症、患者准备、样本要求、正常参考值范围、结果及临床意义、药物对检验结果的影响、注意事项信息，贴近临床工作需要</w:t>
      </w:r>
      <w:r>
        <w:rPr>
          <w:rFonts w:cs="Arial" w:asciiTheme="minorEastAsia" w:hAnsiTheme="minorEastAsia"/>
          <w:bCs/>
          <w:sz w:val="24"/>
          <w:szCs w:val="24"/>
        </w:rPr>
        <w:t>。</w:t>
      </w:r>
    </w:p>
    <w:p w14:paraId="407C0033">
      <w:pPr>
        <w:spacing w:line="360" w:lineRule="auto"/>
        <w:ind w:right="86" w:rightChars="41" w:firstLine="470" w:firstLineChars="196"/>
        <w:rPr>
          <w:rFonts w:hint="eastAsia" w:cs="Arial" w:asciiTheme="minorEastAsia" w:hAnsiTheme="minorEastAsia"/>
          <w:bCs/>
          <w:sz w:val="24"/>
          <w:szCs w:val="24"/>
        </w:rPr>
      </w:pPr>
      <w:r>
        <w:rPr>
          <w:rFonts w:cs="Arial" w:asciiTheme="minorEastAsia" w:hAnsiTheme="minorEastAsia"/>
          <w:bCs/>
          <w:sz w:val="24"/>
          <w:szCs w:val="24"/>
        </w:rPr>
        <w:t>可按检验类别查询</w:t>
      </w:r>
      <w:r>
        <w:rPr>
          <w:rFonts w:hint="eastAsia" w:cs="Arial" w:asciiTheme="minorEastAsia" w:hAnsiTheme="minorEastAsia"/>
          <w:bCs/>
          <w:sz w:val="24"/>
          <w:szCs w:val="24"/>
        </w:rPr>
        <w:t>，</w:t>
      </w:r>
      <w:r>
        <w:rPr>
          <w:rFonts w:cs="Arial" w:asciiTheme="minorEastAsia" w:hAnsiTheme="minorEastAsia"/>
          <w:bCs/>
          <w:sz w:val="24"/>
          <w:szCs w:val="24"/>
        </w:rPr>
        <w:t>也可按检验名称查询检验值信息。</w:t>
      </w:r>
    </w:p>
    <w:p w14:paraId="70207FF0">
      <w:pPr>
        <w:pStyle w:val="71"/>
        <w:numPr>
          <w:ilvl w:val="1"/>
          <w:numId w:val="41"/>
        </w:numPr>
        <w:spacing w:before="0" w:after="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药品基本信息</w:t>
      </w:r>
    </w:p>
    <w:p w14:paraId="29D90B1B">
      <w:pPr>
        <w:spacing w:line="360" w:lineRule="auto"/>
        <w:ind w:right="86" w:rightChars="41" w:firstLine="470" w:firstLineChars="196"/>
        <w:rPr>
          <w:rFonts w:hint="eastAsia" w:cs="Arial" w:asciiTheme="minorEastAsia" w:hAnsiTheme="minorEastAsia"/>
          <w:kern w:val="0"/>
          <w:sz w:val="24"/>
          <w:szCs w:val="24"/>
        </w:rPr>
      </w:pPr>
      <w:r>
        <w:rPr>
          <w:rFonts w:hint="eastAsia" w:cs="Arial" w:asciiTheme="minorEastAsia" w:hAnsiTheme="minorEastAsia"/>
          <w:kern w:val="0"/>
          <w:sz w:val="24"/>
          <w:szCs w:val="24"/>
        </w:rPr>
        <w:t>提供国家药品监督管理局（NMPA）批准上市药品的基本信息，包括药品的中英文通用名、商品名、剂型、规格、生产厂家、批准文号/注册证号、药品编码，以及OTC、国家基本药物、国家社保品种、毒性药品、麻醉药品、精神药品、兴奋药品、原研药、仿制药等药品属性标记。</w:t>
      </w:r>
      <w:r>
        <w:rPr>
          <w:rFonts w:hint="eastAsia" w:cs="Arial" w:asciiTheme="minorEastAsia" w:hAnsiTheme="minorEastAsia"/>
          <w:bCs/>
          <w:sz w:val="24"/>
          <w:szCs w:val="24"/>
        </w:rPr>
        <w:t>可通过剂型、</w:t>
      </w:r>
      <w:r>
        <w:rPr>
          <w:rFonts w:hint="eastAsia" w:cs="Arial" w:asciiTheme="minorEastAsia" w:hAnsiTheme="minorEastAsia"/>
          <w:sz w:val="24"/>
          <w:szCs w:val="24"/>
        </w:rPr>
        <w:t>国产</w:t>
      </w:r>
      <w:r>
        <w:rPr>
          <w:rFonts w:cs="Arial" w:asciiTheme="minorEastAsia" w:hAnsiTheme="minorEastAsia"/>
          <w:sz w:val="24"/>
          <w:szCs w:val="24"/>
        </w:rPr>
        <w:t>/</w:t>
      </w:r>
      <w:r>
        <w:rPr>
          <w:rFonts w:hint="eastAsia" w:cs="Arial" w:asciiTheme="minorEastAsia" w:hAnsiTheme="minorEastAsia"/>
          <w:sz w:val="24"/>
          <w:szCs w:val="24"/>
        </w:rPr>
        <w:t>进口</w:t>
      </w:r>
      <w:r>
        <w:rPr>
          <w:rFonts w:hint="eastAsia" w:cs="Arial" w:asciiTheme="minorEastAsia" w:hAnsiTheme="minorEastAsia"/>
          <w:bCs/>
          <w:sz w:val="24"/>
          <w:szCs w:val="24"/>
        </w:rPr>
        <w:t>和药品属性</w:t>
      </w:r>
      <w:r>
        <w:rPr>
          <w:rFonts w:hint="eastAsia" w:cs="Arial" w:asciiTheme="minorEastAsia" w:hAnsiTheme="minorEastAsia"/>
          <w:sz w:val="24"/>
          <w:szCs w:val="24"/>
        </w:rPr>
        <w:t>方式筛选药品，</w:t>
      </w:r>
      <w:r>
        <w:rPr>
          <w:rFonts w:hint="eastAsia" w:cs="Arial" w:asciiTheme="minorEastAsia" w:hAnsiTheme="minorEastAsia"/>
          <w:kern w:val="0"/>
          <w:sz w:val="24"/>
          <w:szCs w:val="24"/>
        </w:rPr>
        <w:t>可查看药品生产企业在产药品信息，还可通过跳转链接快速查看药品说明书。</w:t>
      </w:r>
    </w:p>
    <w:p w14:paraId="068BDA76">
      <w:pPr>
        <w:spacing w:line="360" w:lineRule="auto"/>
        <w:ind w:right="86" w:rightChars="41" w:firstLine="470" w:firstLineChars="196"/>
        <w:rPr>
          <w:rFonts w:hint="eastAsia" w:cs="Arial" w:asciiTheme="minorEastAsia" w:hAnsiTheme="minorEastAsia"/>
          <w:kern w:val="0"/>
          <w:sz w:val="24"/>
          <w:szCs w:val="24"/>
        </w:rPr>
      </w:pPr>
      <w:r>
        <w:rPr>
          <w:rFonts w:hint="eastAsia" w:cs="Arial" w:asciiTheme="minorEastAsia" w:hAnsiTheme="minorEastAsia"/>
          <w:kern w:val="0"/>
          <w:sz w:val="24"/>
          <w:szCs w:val="24"/>
        </w:rPr>
        <w:t>提供国家重点监控合理用药目录、兴奋剂目录、国家集采药品及集采替代药品参考监测范围数据。</w:t>
      </w:r>
    </w:p>
    <w:p w14:paraId="3E489791">
      <w:pPr>
        <w:pStyle w:val="71"/>
        <w:numPr>
          <w:ilvl w:val="1"/>
          <w:numId w:val="41"/>
        </w:numPr>
        <w:spacing w:before="0" w:after="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临床路径</w:t>
      </w:r>
    </w:p>
    <w:p w14:paraId="01EB6015">
      <w:pPr>
        <w:spacing w:line="360" w:lineRule="auto"/>
        <w:ind w:right="86" w:rightChars="41" w:firstLine="470" w:firstLineChars="196"/>
        <w:rPr>
          <w:rFonts w:hint="eastAsia" w:cs="Arial" w:asciiTheme="minorEastAsia" w:hAnsiTheme="minorEastAsia"/>
          <w:kern w:val="0"/>
          <w:sz w:val="24"/>
          <w:szCs w:val="24"/>
        </w:rPr>
      </w:pPr>
      <w:r>
        <w:rPr>
          <w:rFonts w:hint="eastAsia" w:cs="Arial" w:asciiTheme="minorEastAsia" w:hAnsiTheme="minorEastAsia"/>
          <w:kern w:val="0"/>
          <w:sz w:val="24"/>
          <w:szCs w:val="24"/>
          <w:lang w:eastAsia="zh-CN"/>
        </w:rPr>
        <w:t>收录</w:t>
      </w:r>
      <w:r>
        <w:rPr>
          <w:rFonts w:hint="eastAsia" w:cs="Arial" w:asciiTheme="minorEastAsia" w:hAnsiTheme="minorEastAsia"/>
          <w:kern w:val="0"/>
          <w:sz w:val="24"/>
          <w:szCs w:val="24"/>
        </w:rPr>
        <w:t>国家卫生健康委员会发布的临床路径和国家卫生健康委员会委托中国医学科学院编写的临床路径释义</w:t>
      </w:r>
      <w:r>
        <w:rPr>
          <w:rFonts w:cs="Arial" w:asciiTheme="minorEastAsia" w:hAnsiTheme="minorEastAsia"/>
          <w:kern w:val="0"/>
          <w:sz w:val="24"/>
          <w:szCs w:val="24"/>
        </w:rPr>
        <w:t>原文，涵盖了临床各科室的常见疾病病种。</w:t>
      </w:r>
    </w:p>
    <w:p w14:paraId="3DD1C744">
      <w:pPr>
        <w:spacing w:line="360" w:lineRule="auto"/>
        <w:ind w:right="86" w:rightChars="41" w:firstLine="470" w:firstLineChars="196"/>
        <w:rPr>
          <w:rFonts w:hint="eastAsia" w:cs="Arial" w:asciiTheme="minorEastAsia" w:hAnsiTheme="minorEastAsia"/>
          <w:bCs/>
          <w:sz w:val="24"/>
          <w:szCs w:val="24"/>
        </w:rPr>
      </w:pPr>
      <w:r>
        <w:rPr>
          <w:rFonts w:hint="eastAsia" w:cs="Arial" w:asciiTheme="minorEastAsia" w:hAnsiTheme="minorEastAsia"/>
          <w:bCs/>
          <w:sz w:val="24"/>
          <w:szCs w:val="24"/>
        </w:rPr>
        <w:t>支持疾病关键词检索及临床科室分类筛选临床路径。</w:t>
      </w:r>
    </w:p>
    <w:p w14:paraId="33D65A0B">
      <w:pPr>
        <w:spacing w:line="360" w:lineRule="auto"/>
        <w:ind w:right="86" w:rightChars="41" w:firstLine="470" w:firstLineChars="196"/>
        <w:rPr>
          <w:rFonts w:hint="eastAsia" w:cs="Arial" w:asciiTheme="minorEastAsia" w:hAnsiTheme="minorEastAsia"/>
          <w:bCs/>
          <w:sz w:val="24"/>
          <w:szCs w:val="24"/>
        </w:rPr>
      </w:pPr>
      <w:r>
        <w:rPr>
          <w:rFonts w:hint="eastAsia" w:cs="Arial" w:asciiTheme="minorEastAsia" w:hAnsiTheme="minorEastAsia"/>
          <w:bCs/>
          <w:sz w:val="24"/>
          <w:szCs w:val="24"/>
        </w:rPr>
        <w:t>可链接到医药公式数据库查看相关内容。</w:t>
      </w:r>
    </w:p>
    <w:p w14:paraId="41491669">
      <w:pPr>
        <w:pStyle w:val="71"/>
        <w:numPr>
          <w:ilvl w:val="1"/>
          <w:numId w:val="41"/>
        </w:numPr>
        <w:spacing w:before="0" w:after="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医药公式</w:t>
      </w:r>
    </w:p>
    <w:p w14:paraId="2BED9FC0">
      <w:pPr>
        <w:spacing w:line="360" w:lineRule="auto"/>
        <w:ind w:right="86" w:rightChars="41" w:firstLine="480"/>
        <w:rPr>
          <w:rFonts w:hint="eastAsia" w:cs="Arial" w:asciiTheme="minorEastAsia" w:hAnsiTheme="minorEastAsia"/>
          <w:bCs/>
          <w:sz w:val="24"/>
          <w:szCs w:val="24"/>
        </w:rPr>
      </w:pPr>
      <w:r>
        <w:rPr>
          <w:rFonts w:cs="Arial" w:asciiTheme="minorEastAsia" w:hAnsiTheme="minorEastAsia"/>
          <w:bCs/>
          <w:sz w:val="24"/>
          <w:szCs w:val="24"/>
        </w:rPr>
        <w:t>提供临床常用的医药学公式</w:t>
      </w:r>
      <w:r>
        <w:rPr>
          <w:rFonts w:hint="eastAsia" w:cs="Arial" w:asciiTheme="minorEastAsia" w:hAnsiTheme="minorEastAsia"/>
          <w:bCs/>
          <w:sz w:val="24"/>
          <w:szCs w:val="24"/>
        </w:rPr>
        <w:t>及评分、分级标准量表等</w:t>
      </w:r>
      <w:r>
        <w:rPr>
          <w:rFonts w:cs="Arial" w:asciiTheme="minorEastAsia" w:hAnsiTheme="minorEastAsia"/>
          <w:bCs/>
          <w:sz w:val="24"/>
          <w:szCs w:val="24"/>
        </w:rPr>
        <w:t>，</w:t>
      </w:r>
      <w:r>
        <w:rPr>
          <w:rFonts w:hint="eastAsia" w:cs="Arial" w:asciiTheme="minorEastAsia" w:hAnsiTheme="minorEastAsia"/>
          <w:bCs/>
          <w:sz w:val="24"/>
          <w:szCs w:val="24"/>
        </w:rPr>
        <w:t>内容涵盖了内科、外科、妇产科、儿科、神经科等，</w:t>
      </w:r>
      <w:r>
        <w:rPr>
          <w:rFonts w:cs="Arial" w:asciiTheme="minorEastAsia" w:hAnsiTheme="minorEastAsia"/>
          <w:bCs/>
          <w:sz w:val="24"/>
          <w:szCs w:val="24"/>
        </w:rPr>
        <w:t>并提供计算功能。</w:t>
      </w:r>
    </w:p>
    <w:p w14:paraId="561647EA">
      <w:pPr>
        <w:spacing w:line="360" w:lineRule="auto"/>
        <w:ind w:right="86" w:rightChars="41" w:firstLine="480"/>
        <w:rPr>
          <w:rFonts w:hint="eastAsia" w:cs="Arial" w:asciiTheme="minorEastAsia" w:hAnsiTheme="minorEastAsia"/>
          <w:bCs/>
          <w:sz w:val="24"/>
          <w:szCs w:val="24"/>
        </w:rPr>
      </w:pPr>
      <w:r>
        <w:rPr>
          <w:rFonts w:hint="eastAsia" w:cs="Arial" w:asciiTheme="minorEastAsia" w:hAnsiTheme="minorEastAsia"/>
          <w:bCs/>
          <w:sz w:val="24"/>
          <w:szCs w:val="24"/>
        </w:rPr>
        <w:t>支持关键词检索，临床科室分类浏览及公式名称列表浏览。</w:t>
      </w:r>
    </w:p>
    <w:p w14:paraId="2FD1BA92">
      <w:pPr>
        <w:pStyle w:val="71"/>
        <w:numPr>
          <w:ilvl w:val="1"/>
          <w:numId w:val="41"/>
        </w:numPr>
        <w:spacing w:before="0" w:after="0"/>
        <w:rPr>
          <w:rFonts w:hint="eastAsia"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医药时讯</w:t>
      </w:r>
    </w:p>
    <w:p w14:paraId="1BEF2F5C">
      <w:pPr>
        <w:spacing w:line="360" w:lineRule="auto"/>
        <w:ind w:right="86" w:rightChars="41" w:firstLine="470" w:firstLineChars="196"/>
        <w:rPr>
          <w:rFonts w:hint="eastAsia" w:cs="Arial" w:asciiTheme="minorEastAsia" w:hAnsiTheme="minorEastAsia"/>
          <w:bCs/>
          <w:sz w:val="24"/>
          <w:szCs w:val="24"/>
        </w:rPr>
      </w:pPr>
      <w:r>
        <w:rPr>
          <w:rFonts w:hint="eastAsia" w:cs="Arial" w:asciiTheme="minorEastAsia" w:hAnsiTheme="minorEastAsia"/>
          <w:bCs/>
          <w:sz w:val="24"/>
          <w:szCs w:val="24"/>
        </w:rPr>
        <w:t>提供</w:t>
      </w:r>
      <w:r>
        <w:rPr>
          <w:rFonts w:cs="Arial" w:asciiTheme="minorEastAsia" w:hAnsiTheme="minorEastAsia"/>
          <w:bCs/>
          <w:sz w:val="24"/>
          <w:szCs w:val="24"/>
        </w:rPr>
        <w:t>国内外政府网站和医药学专业数据库、核心期刊</w:t>
      </w:r>
      <w:r>
        <w:rPr>
          <w:rFonts w:hint="eastAsia" w:cs="Arial" w:asciiTheme="minorEastAsia" w:hAnsiTheme="minorEastAsia"/>
          <w:bCs/>
          <w:sz w:val="24"/>
          <w:szCs w:val="24"/>
        </w:rPr>
        <w:t>发布的</w:t>
      </w:r>
      <w:r>
        <w:rPr>
          <w:rFonts w:cs="Arial" w:asciiTheme="minorEastAsia" w:hAnsiTheme="minorEastAsia"/>
          <w:bCs/>
          <w:sz w:val="24"/>
          <w:szCs w:val="24"/>
        </w:rPr>
        <w:t>最新的药物研究成果、药物警戒信息、新药研发和上市资讯等内容进行汇编整理，以便读者能够及时了解医药学领域的前沿进展。</w:t>
      </w:r>
    </w:p>
    <w:p w14:paraId="41F8985D">
      <w:pPr>
        <w:pStyle w:val="71"/>
        <w:numPr>
          <w:ilvl w:val="1"/>
          <w:numId w:val="41"/>
        </w:numPr>
        <w:spacing w:before="0" w:after="0"/>
        <w:rPr>
          <w:rFonts w:hint="eastAsia"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医药法规</w:t>
      </w:r>
    </w:p>
    <w:p w14:paraId="78FA0D9C">
      <w:pPr>
        <w:spacing w:line="360" w:lineRule="auto"/>
        <w:ind w:right="86" w:rightChars="41" w:firstLine="470" w:firstLineChars="196"/>
        <w:rPr>
          <w:rFonts w:hint="eastAsia" w:cs="Arial" w:asciiTheme="minorEastAsia" w:hAnsiTheme="minorEastAsia"/>
          <w:bCs/>
          <w:sz w:val="24"/>
          <w:szCs w:val="24"/>
        </w:rPr>
      </w:pPr>
      <w:r>
        <w:rPr>
          <w:rFonts w:hint="eastAsia" w:cs="Arial" w:asciiTheme="minorEastAsia" w:hAnsiTheme="minorEastAsia"/>
          <w:bCs/>
          <w:sz w:val="24"/>
          <w:szCs w:val="24"/>
          <w:lang w:eastAsia="zh-CN"/>
        </w:rPr>
        <w:t>收录</w:t>
      </w:r>
      <w:r>
        <w:rPr>
          <w:rFonts w:hint="eastAsia" w:cs="Arial" w:asciiTheme="minorEastAsia" w:hAnsiTheme="minorEastAsia"/>
          <w:bCs/>
          <w:sz w:val="24"/>
          <w:szCs w:val="24"/>
        </w:rPr>
        <w:t>国家药品监督管理局、国家卫生健康委员会等权威机构发布的法律法规、行政规章信息和相应的通知及政策解读。内容包括药品管理（包括中药）、医疗机构管理、医疗事故管理、传染病防治等。支持关键词检索，可按发布部门、效力级别分类浏览。</w:t>
      </w:r>
    </w:p>
    <w:p w14:paraId="2BE9141B">
      <w:pPr>
        <w:pStyle w:val="71"/>
        <w:numPr>
          <w:ilvl w:val="1"/>
          <w:numId w:val="41"/>
        </w:numPr>
        <w:spacing w:before="0" w:after="0"/>
        <w:rPr>
          <w:rFonts w:hint="eastAsia"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妊娠哺乳用药</w:t>
      </w:r>
    </w:p>
    <w:p w14:paraId="27B52228">
      <w:pPr>
        <w:spacing w:line="360" w:lineRule="auto"/>
        <w:ind w:right="86" w:rightChars="41" w:firstLine="480" w:firstLineChars="200"/>
        <w:rPr>
          <w:rFonts w:hint="eastAsia" w:cs="Arial" w:asciiTheme="minorEastAsia" w:hAnsiTheme="minorEastAsia"/>
          <w:bCs/>
          <w:sz w:val="24"/>
          <w:szCs w:val="24"/>
        </w:rPr>
      </w:pPr>
      <w:r>
        <w:rPr>
          <w:rFonts w:hint="eastAsia" w:cs="Arial" w:asciiTheme="minorEastAsia" w:hAnsiTheme="minorEastAsia"/>
          <w:bCs/>
          <w:sz w:val="24"/>
          <w:szCs w:val="24"/>
        </w:rPr>
        <w:t>系统基于循证医学原则评价了国内外药品说明书、专业数据库、专著及研究文献，综合评估了妊娠期和哺乳期药物暴露风险，提出用药建议。提供妊娠药代动力学变化和文献报道供临床参考。</w:t>
      </w:r>
    </w:p>
    <w:p w14:paraId="6AEC23E8">
      <w:pPr>
        <w:spacing w:line="360" w:lineRule="auto"/>
        <w:ind w:right="86" w:rightChars="41" w:firstLine="480" w:firstLineChars="200"/>
        <w:rPr>
          <w:rFonts w:hint="eastAsia" w:cs="Arial" w:asciiTheme="minorEastAsia" w:hAnsiTheme="minorEastAsia"/>
          <w:bCs/>
          <w:sz w:val="24"/>
          <w:szCs w:val="24"/>
        </w:rPr>
      </w:pPr>
      <w:r>
        <w:rPr>
          <w:rFonts w:hint="eastAsia" w:cs="Arial" w:asciiTheme="minorEastAsia" w:hAnsiTheme="minorEastAsia"/>
          <w:bCs/>
          <w:sz w:val="24"/>
          <w:szCs w:val="24"/>
        </w:rPr>
        <w:t>提供临床医生、药师关注的药物应用和替代药物信息，提供避孕及怀孕时间建议。</w:t>
      </w:r>
    </w:p>
    <w:p w14:paraId="002A7126">
      <w:pPr>
        <w:spacing w:line="360" w:lineRule="auto"/>
        <w:ind w:right="86" w:rightChars="41" w:firstLine="480" w:firstLineChars="200"/>
        <w:rPr>
          <w:rFonts w:hint="eastAsia" w:cs="Arial" w:asciiTheme="minorEastAsia" w:hAnsiTheme="minorEastAsia"/>
          <w:bCs/>
          <w:sz w:val="24"/>
          <w:szCs w:val="24"/>
        </w:rPr>
      </w:pPr>
      <w:r>
        <w:rPr>
          <w:rFonts w:hint="eastAsia" w:cs="Arial" w:asciiTheme="minorEastAsia" w:hAnsiTheme="minorEastAsia"/>
          <w:bCs/>
          <w:sz w:val="24"/>
          <w:szCs w:val="24"/>
        </w:rPr>
        <w:t>妊娠哺乳用药文中的信息均能提供原始出处。</w:t>
      </w:r>
    </w:p>
    <w:p w14:paraId="774367A3">
      <w:pPr>
        <w:pStyle w:val="71"/>
        <w:numPr>
          <w:ilvl w:val="1"/>
          <w:numId w:val="41"/>
        </w:numPr>
        <w:spacing w:before="0" w:after="0"/>
        <w:rPr>
          <w:rFonts w:hint="eastAsia"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国家基本药物</w:t>
      </w:r>
    </w:p>
    <w:p w14:paraId="6FEBD831">
      <w:pPr>
        <w:spacing w:line="360" w:lineRule="auto"/>
        <w:ind w:right="86" w:rightChars="41" w:firstLine="470" w:firstLineChars="196"/>
        <w:rPr>
          <w:rFonts w:hint="eastAsia" w:cs="Arial" w:asciiTheme="minorEastAsia" w:hAnsiTheme="minorEastAsia"/>
          <w:bCs/>
          <w:sz w:val="24"/>
          <w:szCs w:val="24"/>
        </w:rPr>
      </w:pPr>
      <w:r>
        <w:rPr>
          <w:rFonts w:hint="eastAsia" w:cs="Arial" w:asciiTheme="minorEastAsia" w:hAnsiTheme="minorEastAsia"/>
          <w:bCs/>
          <w:sz w:val="24"/>
          <w:szCs w:val="24"/>
        </w:rPr>
        <w:t>收录《国家基本药物目录（2018年版）》所包括的药品品种信息(品种名称、英文名称、剂型和规格），包括目录中的化学药品、生物制品以及中成药品种。将其对应到了国家药品监督管理局(NMPA）批准上市药品信息上，可查看生产厂家、批准文号等信息，提供目录品种与药物专论的链接，方便查看药物临床应用信息。</w:t>
      </w:r>
    </w:p>
    <w:p w14:paraId="45D1C151">
      <w:pPr>
        <w:pStyle w:val="71"/>
        <w:numPr>
          <w:ilvl w:val="1"/>
          <w:numId w:val="41"/>
        </w:numPr>
        <w:spacing w:before="0" w:after="0"/>
        <w:rPr>
          <w:rFonts w:hint="eastAsia"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FDA妊娠分级</w:t>
      </w:r>
    </w:p>
    <w:p w14:paraId="1AF22176">
      <w:pPr>
        <w:spacing w:line="360" w:lineRule="auto"/>
        <w:ind w:right="86" w:rightChars="41" w:firstLine="470" w:firstLineChars="196"/>
        <w:rPr>
          <w:rFonts w:hint="eastAsia" w:cs="Arial" w:asciiTheme="minorEastAsia" w:hAnsiTheme="minorEastAsia"/>
          <w:bCs/>
          <w:sz w:val="24"/>
          <w:szCs w:val="24"/>
        </w:rPr>
      </w:pPr>
      <w:r>
        <w:rPr>
          <w:rFonts w:hint="eastAsia" w:cs="Arial" w:asciiTheme="minorEastAsia" w:hAnsiTheme="minorEastAsia"/>
          <w:bCs/>
          <w:sz w:val="24"/>
          <w:szCs w:val="24"/>
        </w:rPr>
        <w:t xml:space="preserve">提供根据药物对动物和妊娠期妇女的致畸危险而对药物所作的分级。可浏览或检索药物所对应的分类级别。 </w:t>
      </w:r>
    </w:p>
    <w:p w14:paraId="55FA67F5">
      <w:pPr>
        <w:spacing w:line="360" w:lineRule="auto"/>
        <w:ind w:right="86" w:rightChars="41" w:firstLine="470" w:firstLineChars="196"/>
        <w:rPr>
          <w:rFonts w:hint="eastAsia" w:cs="Arial" w:asciiTheme="minorEastAsia" w:hAnsiTheme="minorEastAsia"/>
          <w:bCs/>
          <w:sz w:val="24"/>
          <w:szCs w:val="24"/>
        </w:rPr>
      </w:pPr>
      <w:r>
        <w:rPr>
          <w:rFonts w:hint="eastAsia" w:cs="Arial" w:asciiTheme="minorEastAsia" w:hAnsiTheme="minorEastAsia"/>
          <w:bCs/>
          <w:sz w:val="24"/>
          <w:szCs w:val="24"/>
        </w:rPr>
        <w:t>支持通过药理分类或药名检索的方式进行检索。</w:t>
      </w:r>
    </w:p>
    <w:p w14:paraId="027315C6">
      <w:pPr>
        <w:pStyle w:val="71"/>
        <w:numPr>
          <w:ilvl w:val="1"/>
          <w:numId w:val="41"/>
        </w:numPr>
        <w:spacing w:before="0" w:after="0"/>
        <w:rPr>
          <w:rFonts w:hint="eastAsia"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中医药</w:t>
      </w:r>
    </w:p>
    <w:p w14:paraId="1416F266">
      <w:pPr>
        <w:spacing w:line="360" w:lineRule="auto"/>
        <w:ind w:right="86" w:rightChars="41" w:firstLine="480" w:firstLineChars="200"/>
        <w:rPr>
          <w:rFonts w:hint="eastAsia" w:cs="Arial" w:asciiTheme="minorEastAsia" w:hAnsiTheme="minorEastAsia"/>
          <w:bCs/>
          <w:kern w:val="0"/>
          <w:sz w:val="24"/>
          <w:szCs w:val="24"/>
        </w:rPr>
      </w:pPr>
      <w:r>
        <w:rPr>
          <w:rFonts w:hint="eastAsia" w:cs="Arial" w:asciiTheme="minorEastAsia" w:hAnsiTheme="minorEastAsia"/>
          <w:bCs/>
          <w:kern w:val="0"/>
          <w:sz w:val="24"/>
          <w:szCs w:val="24"/>
          <w:lang w:eastAsia="zh-CN"/>
        </w:rPr>
        <w:t>收录</w:t>
      </w:r>
      <w:r>
        <w:rPr>
          <w:rFonts w:hint="eastAsia" w:cs="Arial" w:asciiTheme="minorEastAsia" w:hAnsiTheme="minorEastAsia"/>
          <w:bCs/>
          <w:kern w:val="0"/>
          <w:sz w:val="24"/>
          <w:szCs w:val="24"/>
        </w:rPr>
        <w:t>中药材、中医方剂、中医诊疗方案、中医临床路径、中医标准术语、中医病证分类与代码的信息</w:t>
      </w:r>
      <w:r>
        <w:rPr>
          <w:rFonts w:cs="Arial" w:asciiTheme="minorEastAsia" w:hAnsiTheme="minorEastAsia"/>
          <w:bCs/>
          <w:kern w:val="0"/>
          <w:sz w:val="24"/>
          <w:szCs w:val="24"/>
        </w:rPr>
        <w:t>，可满足</w:t>
      </w:r>
      <w:r>
        <w:rPr>
          <w:rFonts w:hint="eastAsia" w:cs="Arial" w:asciiTheme="minorEastAsia" w:hAnsiTheme="minorEastAsia"/>
          <w:bCs/>
          <w:kern w:val="0"/>
          <w:sz w:val="24"/>
          <w:szCs w:val="24"/>
        </w:rPr>
        <w:t>中医药</w:t>
      </w:r>
      <w:r>
        <w:rPr>
          <w:rFonts w:cs="Arial" w:asciiTheme="minorEastAsia" w:hAnsiTheme="minorEastAsia"/>
          <w:bCs/>
          <w:kern w:val="0"/>
          <w:sz w:val="24"/>
          <w:szCs w:val="24"/>
        </w:rPr>
        <w:t>卫生</w:t>
      </w:r>
      <w:r>
        <w:rPr>
          <w:rFonts w:hint="eastAsia" w:cs="Arial" w:asciiTheme="minorEastAsia" w:hAnsiTheme="minorEastAsia"/>
          <w:bCs/>
          <w:kern w:val="0"/>
          <w:sz w:val="24"/>
          <w:szCs w:val="24"/>
        </w:rPr>
        <w:t>专业</w:t>
      </w:r>
      <w:r>
        <w:rPr>
          <w:rFonts w:cs="Arial" w:asciiTheme="minorEastAsia" w:hAnsiTheme="minorEastAsia"/>
          <w:bCs/>
          <w:kern w:val="0"/>
          <w:sz w:val="24"/>
          <w:szCs w:val="24"/>
        </w:rPr>
        <w:t>人员</w:t>
      </w:r>
      <w:r>
        <w:rPr>
          <w:rFonts w:hint="eastAsia" w:cs="Arial" w:asciiTheme="minorEastAsia" w:hAnsiTheme="minorEastAsia"/>
          <w:bCs/>
          <w:kern w:val="0"/>
          <w:sz w:val="24"/>
          <w:szCs w:val="24"/>
        </w:rPr>
        <w:t>日常</w:t>
      </w:r>
      <w:r>
        <w:rPr>
          <w:rFonts w:cs="Arial" w:asciiTheme="minorEastAsia" w:hAnsiTheme="minorEastAsia"/>
          <w:bCs/>
          <w:kern w:val="0"/>
          <w:sz w:val="24"/>
          <w:szCs w:val="24"/>
        </w:rPr>
        <w:t>工作中</w:t>
      </w:r>
      <w:r>
        <w:rPr>
          <w:rFonts w:hint="eastAsia" w:cs="Arial" w:asciiTheme="minorEastAsia" w:hAnsiTheme="minorEastAsia"/>
          <w:bCs/>
          <w:kern w:val="0"/>
          <w:sz w:val="24"/>
          <w:szCs w:val="24"/>
        </w:rPr>
        <w:t>对</w:t>
      </w:r>
      <w:r>
        <w:rPr>
          <w:rFonts w:cs="Arial" w:asciiTheme="minorEastAsia" w:hAnsiTheme="minorEastAsia"/>
          <w:bCs/>
          <w:kern w:val="0"/>
          <w:sz w:val="24"/>
          <w:szCs w:val="24"/>
        </w:rPr>
        <w:t>中医药信息</w:t>
      </w:r>
      <w:r>
        <w:rPr>
          <w:rFonts w:hint="eastAsia" w:cs="Arial" w:asciiTheme="minorEastAsia" w:hAnsiTheme="minorEastAsia"/>
          <w:bCs/>
          <w:kern w:val="0"/>
          <w:sz w:val="24"/>
          <w:szCs w:val="24"/>
        </w:rPr>
        <w:t>的</w:t>
      </w:r>
      <w:r>
        <w:rPr>
          <w:rFonts w:cs="Arial" w:asciiTheme="minorEastAsia" w:hAnsiTheme="minorEastAsia"/>
          <w:bCs/>
          <w:kern w:val="0"/>
          <w:sz w:val="24"/>
          <w:szCs w:val="24"/>
        </w:rPr>
        <w:t>需求。</w:t>
      </w:r>
    </w:p>
    <w:p w14:paraId="4F5DDFA4">
      <w:pPr>
        <w:pStyle w:val="72"/>
        <w:numPr>
          <w:ilvl w:val="2"/>
          <w:numId w:val="41"/>
        </w:numPr>
        <w:spacing w:before="0" w:after="0" w:line="360" w:lineRule="auto"/>
        <w:rPr>
          <w:rFonts w:hint="eastAsia" w:asciiTheme="minorEastAsia" w:hAnsiTheme="minorEastAsia" w:eastAsiaTheme="minorEastAsia"/>
          <w:sz w:val="24"/>
          <w:szCs w:val="24"/>
        </w:rPr>
      </w:pPr>
      <w:r>
        <w:rPr>
          <w:rFonts w:asciiTheme="minorEastAsia" w:hAnsiTheme="minorEastAsia" w:eastAsiaTheme="minorEastAsia"/>
          <w:sz w:val="24"/>
          <w:szCs w:val="24"/>
        </w:rPr>
        <w:t>中药材</w:t>
      </w:r>
    </w:p>
    <w:p w14:paraId="5F5963FA">
      <w:pPr>
        <w:spacing w:line="360" w:lineRule="auto"/>
        <w:ind w:right="86" w:rightChars="41" w:firstLine="480" w:firstLineChars="200"/>
        <w:rPr>
          <w:rFonts w:hint="eastAsia" w:cs="Arial" w:asciiTheme="minorEastAsia" w:hAnsiTheme="minorEastAsia"/>
          <w:bCs/>
          <w:kern w:val="0"/>
          <w:sz w:val="24"/>
          <w:szCs w:val="24"/>
        </w:rPr>
      </w:pPr>
      <w:r>
        <w:rPr>
          <w:rFonts w:hint="eastAsia" w:cs="Arial" w:asciiTheme="minorEastAsia" w:hAnsiTheme="minorEastAsia"/>
          <w:bCs/>
          <w:kern w:val="0"/>
          <w:sz w:val="24"/>
          <w:szCs w:val="24"/>
        </w:rPr>
        <w:t>数据来源于中国药典、药典临床用药须知、中华本草、临床中药学等专业权威文献和专著，提供临床常用中药材的基本属性和临床应用指导的综述信息，每条数据均有据可查。</w:t>
      </w:r>
      <w:r>
        <w:rPr>
          <w:rFonts w:cs="Arial" w:asciiTheme="minorEastAsia" w:hAnsiTheme="minorEastAsia"/>
          <w:bCs/>
          <w:kern w:val="0"/>
          <w:sz w:val="24"/>
          <w:szCs w:val="24"/>
        </w:rPr>
        <w:t>内容侧重于中药材的临床应用。</w:t>
      </w:r>
      <w:r>
        <w:rPr>
          <w:rFonts w:hint="eastAsia" w:cs="Arial" w:asciiTheme="minorEastAsia" w:hAnsiTheme="minorEastAsia"/>
          <w:bCs/>
          <w:kern w:val="0"/>
          <w:sz w:val="24"/>
          <w:szCs w:val="24"/>
          <w:lang w:eastAsia="zh-CN"/>
        </w:rPr>
        <w:t>收录</w:t>
      </w:r>
      <w:r>
        <w:rPr>
          <w:rFonts w:hint="eastAsia" w:cs="Arial" w:asciiTheme="minorEastAsia" w:hAnsiTheme="minorEastAsia"/>
          <w:bCs/>
          <w:kern w:val="0"/>
          <w:sz w:val="24"/>
          <w:szCs w:val="24"/>
        </w:rPr>
        <w:t>毒性药材和妊娠用药的信息。</w:t>
      </w:r>
    </w:p>
    <w:p w14:paraId="035D6004">
      <w:pPr>
        <w:pStyle w:val="72"/>
        <w:numPr>
          <w:ilvl w:val="2"/>
          <w:numId w:val="41"/>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中医方剂</w:t>
      </w:r>
    </w:p>
    <w:p w14:paraId="30392609">
      <w:pPr>
        <w:spacing w:line="360" w:lineRule="auto"/>
        <w:ind w:right="86" w:rightChars="41" w:firstLine="480" w:firstLineChars="200"/>
        <w:rPr>
          <w:rFonts w:hint="eastAsia" w:cs="Arial" w:asciiTheme="minorEastAsia" w:hAnsiTheme="minorEastAsia"/>
          <w:bCs/>
          <w:kern w:val="0"/>
          <w:sz w:val="24"/>
          <w:szCs w:val="24"/>
        </w:rPr>
      </w:pPr>
      <w:r>
        <w:rPr>
          <w:rFonts w:hint="eastAsia" w:cs="Arial" w:asciiTheme="minorEastAsia" w:hAnsiTheme="minorEastAsia"/>
          <w:bCs/>
          <w:kern w:val="0"/>
          <w:sz w:val="24"/>
          <w:szCs w:val="24"/>
          <w:lang w:eastAsia="zh-CN"/>
        </w:rPr>
        <w:t>收录</w:t>
      </w:r>
      <w:r>
        <w:rPr>
          <w:rFonts w:hint="eastAsia" w:cs="Arial" w:asciiTheme="minorEastAsia" w:hAnsiTheme="minorEastAsia"/>
          <w:bCs/>
          <w:kern w:val="0"/>
          <w:sz w:val="24"/>
          <w:szCs w:val="24"/>
        </w:rPr>
        <w:t>临床常用“基础方”、“代表方”。方剂中所涉及的“病症名称”、“附方”、“成方应用”可以便捷链接到详细的中医诊疗方案，以及相关的附方、成方药药品说明书。</w:t>
      </w:r>
    </w:p>
    <w:p w14:paraId="1B750409">
      <w:pPr>
        <w:pStyle w:val="72"/>
        <w:numPr>
          <w:ilvl w:val="2"/>
          <w:numId w:val="41"/>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中医诊疗方案</w:t>
      </w:r>
    </w:p>
    <w:p w14:paraId="73287BCC">
      <w:pPr>
        <w:spacing w:line="360" w:lineRule="auto"/>
        <w:ind w:right="86" w:rightChars="41" w:firstLine="480" w:firstLineChars="200"/>
        <w:rPr>
          <w:rFonts w:hint="eastAsia" w:cs="Arial" w:asciiTheme="minorEastAsia" w:hAnsiTheme="minorEastAsia"/>
          <w:bCs/>
          <w:kern w:val="0"/>
          <w:sz w:val="24"/>
          <w:szCs w:val="24"/>
        </w:rPr>
      </w:pPr>
      <w:r>
        <w:rPr>
          <w:rFonts w:hint="eastAsia" w:cs="Arial" w:asciiTheme="minorEastAsia" w:hAnsiTheme="minorEastAsia"/>
          <w:bCs/>
          <w:kern w:val="0"/>
          <w:sz w:val="24"/>
          <w:szCs w:val="24"/>
          <w:lang w:eastAsia="zh-CN"/>
        </w:rPr>
        <w:t>收录</w:t>
      </w:r>
      <w:r>
        <w:rPr>
          <w:rFonts w:hint="eastAsia" w:cs="Arial" w:asciiTheme="minorEastAsia" w:hAnsiTheme="minorEastAsia"/>
          <w:bCs/>
          <w:kern w:val="0"/>
          <w:sz w:val="24"/>
          <w:szCs w:val="24"/>
        </w:rPr>
        <w:t>国家中医药管理局发布的诊疗方案。每篇中医诊疗方案中的内容，均与相关的中医方剂、中医病证诊断疗效标准、中医临床路径等多个专题数据库相互链接，便捷实用。</w:t>
      </w:r>
    </w:p>
    <w:p w14:paraId="73223997">
      <w:pPr>
        <w:pStyle w:val="72"/>
        <w:numPr>
          <w:ilvl w:val="2"/>
          <w:numId w:val="41"/>
        </w:numPr>
        <w:spacing w:before="0" w:after="0" w:line="360" w:lineRule="auto"/>
        <w:rPr>
          <w:rFonts w:hint="eastAsia" w:asciiTheme="minorEastAsia" w:hAnsiTheme="minorEastAsia" w:eastAsiaTheme="minorEastAsia"/>
          <w:sz w:val="24"/>
          <w:szCs w:val="24"/>
        </w:rPr>
      </w:pPr>
      <w:r>
        <w:rPr>
          <w:rFonts w:asciiTheme="minorEastAsia" w:hAnsiTheme="minorEastAsia" w:eastAsiaTheme="minorEastAsia"/>
          <w:sz w:val="24"/>
          <w:szCs w:val="24"/>
        </w:rPr>
        <w:t>中医临床路径</w:t>
      </w:r>
    </w:p>
    <w:p w14:paraId="0308590F">
      <w:pPr>
        <w:spacing w:line="360" w:lineRule="auto"/>
        <w:ind w:right="86" w:rightChars="41" w:firstLine="480" w:firstLineChars="200"/>
        <w:rPr>
          <w:rFonts w:hint="eastAsia" w:cs="Arial" w:asciiTheme="minorEastAsia" w:hAnsiTheme="minorEastAsia"/>
          <w:bCs/>
          <w:kern w:val="0"/>
          <w:sz w:val="24"/>
          <w:szCs w:val="24"/>
        </w:rPr>
      </w:pPr>
      <w:r>
        <w:rPr>
          <w:rFonts w:hint="eastAsia" w:cs="Arial" w:asciiTheme="minorEastAsia" w:hAnsiTheme="minorEastAsia"/>
          <w:bCs/>
          <w:kern w:val="0"/>
          <w:sz w:val="24"/>
          <w:szCs w:val="24"/>
          <w:lang w:eastAsia="zh-CN"/>
        </w:rPr>
        <w:t>收录</w:t>
      </w:r>
      <w:r>
        <w:rPr>
          <w:rFonts w:hint="eastAsia" w:cs="Arial" w:asciiTheme="minorEastAsia" w:hAnsiTheme="minorEastAsia"/>
          <w:bCs/>
          <w:kern w:val="0"/>
          <w:sz w:val="24"/>
          <w:szCs w:val="24"/>
        </w:rPr>
        <w:t>国家中医药管理局发布的临床路径。每篇中医临床路径中的内容，均与相关的中医诊疗方案、中医方剂、中医病证诊断疗效标准等多个专题数据库相互链接，便捷实用。</w:t>
      </w:r>
    </w:p>
    <w:p w14:paraId="724D4A05">
      <w:pPr>
        <w:pStyle w:val="72"/>
        <w:numPr>
          <w:ilvl w:val="2"/>
          <w:numId w:val="41"/>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中医标准术语</w:t>
      </w:r>
    </w:p>
    <w:p w14:paraId="1A1D9D27">
      <w:pPr>
        <w:spacing w:line="360" w:lineRule="auto"/>
        <w:ind w:right="86" w:rightChars="41" w:firstLine="480" w:firstLineChars="200"/>
        <w:rPr>
          <w:rFonts w:hint="eastAsia" w:cs="Arial" w:asciiTheme="minorEastAsia" w:hAnsiTheme="minorEastAsia"/>
          <w:bCs/>
          <w:kern w:val="0"/>
          <w:sz w:val="24"/>
          <w:szCs w:val="24"/>
        </w:rPr>
      </w:pPr>
      <w:r>
        <w:rPr>
          <w:rFonts w:hint="eastAsia" w:cs="Arial" w:asciiTheme="minorEastAsia" w:hAnsiTheme="minorEastAsia"/>
          <w:bCs/>
          <w:kern w:val="0"/>
          <w:sz w:val="24"/>
          <w:szCs w:val="24"/>
          <w:lang w:eastAsia="zh-CN"/>
        </w:rPr>
        <w:t>收录</w:t>
      </w:r>
      <w:r>
        <w:rPr>
          <w:rFonts w:hint="eastAsia" w:cs="Arial" w:asciiTheme="minorEastAsia" w:hAnsiTheme="minorEastAsia"/>
          <w:bCs/>
          <w:kern w:val="0"/>
          <w:sz w:val="24"/>
          <w:szCs w:val="24"/>
        </w:rPr>
        <w:t>国家中医药管理局发布的术语。每条中医病证诊断疗效标准中的内容，均与相关的中医临床路径、中医诊疗方案及术语等多个专题数据库相互链接，便捷实用。</w:t>
      </w:r>
    </w:p>
    <w:p w14:paraId="7D22AAF8">
      <w:pPr>
        <w:pStyle w:val="72"/>
        <w:numPr>
          <w:ilvl w:val="2"/>
          <w:numId w:val="41"/>
        </w:numPr>
        <w:spacing w:before="0" w:after="0"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中医病症分类与代码</w:t>
      </w:r>
    </w:p>
    <w:p w14:paraId="3605E913">
      <w:pPr>
        <w:spacing w:line="360" w:lineRule="auto"/>
        <w:ind w:right="86" w:rightChars="41" w:firstLine="480" w:firstLineChars="200"/>
        <w:rPr>
          <w:rFonts w:hint="eastAsia" w:cs="Arial" w:asciiTheme="minorEastAsia" w:hAnsiTheme="minorEastAsia"/>
          <w:bCs/>
          <w:kern w:val="0"/>
          <w:sz w:val="24"/>
          <w:szCs w:val="24"/>
        </w:rPr>
      </w:pPr>
      <w:r>
        <w:rPr>
          <w:rFonts w:hint="eastAsia" w:cs="Arial" w:asciiTheme="minorEastAsia" w:hAnsiTheme="minorEastAsia"/>
          <w:bCs/>
          <w:kern w:val="0"/>
          <w:sz w:val="24"/>
          <w:szCs w:val="24"/>
          <w:lang w:eastAsia="zh-CN"/>
        </w:rPr>
        <w:t>收录</w:t>
      </w:r>
      <w:r>
        <w:rPr>
          <w:rFonts w:hint="eastAsia" w:cs="Arial" w:asciiTheme="minorEastAsia" w:hAnsiTheme="minorEastAsia"/>
          <w:bCs/>
          <w:kern w:val="0"/>
          <w:sz w:val="24"/>
          <w:szCs w:val="24"/>
        </w:rPr>
        <w:t>国家中医药管理局发布中医病证分类与代码。支持多种检索方式（疾病名称/证候名称/病证代码等）；提供多种查询浏览途径（按疾病分类/证候分类浏览）。</w:t>
      </w:r>
    </w:p>
    <w:p w14:paraId="78DA4A62">
      <w:pPr>
        <w:pStyle w:val="71"/>
        <w:numPr>
          <w:ilvl w:val="1"/>
          <w:numId w:val="41"/>
        </w:numPr>
        <w:spacing w:before="0" w:after="0"/>
        <w:ind w:left="993"/>
        <w:rPr>
          <w:rFonts w:hint="eastAsia"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超说明书用药</w:t>
      </w:r>
    </w:p>
    <w:p w14:paraId="69649506">
      <w:pPr>
        <w:spacing w:line="360" w:lineRule="auto"/>
        <w:ind w:right="86" w:rightChars="41" w:firstLine="480" w:firstLineChars="200"/>
        <w:rPr>
          <w:rFonts w:hint="eastAsia" w:cs="Arial" w:asciiTheme="minorEastAsia" w:hAnsiTheme="minorEastAsia"/>
          <w:bCs/>
          <w:kern w:val="0"/>
          <w:sz w:val="24"/>
          <w:szCs w:val="24"/>
        </w:rPr>
      </w:pPr>
      <w:r>
        <w:rPr>
          <w:rFonts w:hint="eastAsia" w:cs="Arial" w:asciiTheme="minorEastAsia" w:hAnsiTheme="minorEastAsia"/>
          <w:bCs/>
          <w:kern w:val="0"/>
          <w:sz w:val="24"/>
          <w:szCs w:val="24"/>
        </w:rPr>
        <w:t>提供临床常用药物的超说明书用药信息，并提供循证医学证据。内容包括超说明书用药类型、证据类型、推荐意见、超说明书用药适应症、超说明书用药的用法用量、临床证据、作用机制等信息。</w:t>
      </w:r>
    </w:p>
    <w:p w14:paraId="52B5F819">
      <w:pPr>
        <w:pStyle w:val="71"/>
        <w:numPr>
          <w:ilvl w:val="1"/>
          <w:numId w:val="41"/>
        </w:numPr>
        <w:spacing w:before="0" w:after="0"/>
        <w:ind w:left="993"/>
        <w:rPr>
          <w:rFonts w:hint="eastAsia" w:asciiTheme="minorEastAsia" w:hAnsiTheme="minorEastAsia" w:eastAsiaTheme="minorEastAsia"/>
          <w:color w:val="auto"/>
          <w:sz w:val="24"/>
          <w:szCs w:val="24"/>
        </w:rPr>
      </w:pPr>
      <w:r>
        <w:rPr>
          <w:rFonts w:asciiTheme="minorEastAsia" w:hAnsiTheme="minorEastAsia" w:eastAsiaTheme="minorEastAsia"/>
          <w:color w:val="auto"/>
          <w:sz w:val="24"/>
          <w:szCs w:val="24"/>
        </w:rPr>
        <w:t>儿童用药</w:t>
      </w:r>
    </w:p>
    <w:p w14:paraId="29FBA6A8">
      <w:pPr>
        <w:spacing w:line="360" w:lineRule="auto"/>
        <w:ind w:right="86" w:rightChars="41" w:firstLine="480" w:firstLineChars="200"/>
        <w:rPr>
          <w:rFonts w:hint="eastAsia" w:cs="Arial" w:asciiTheme="minorEastAsia" w:hAnsiTheme="minorEastAsia"/>
          <w:bCs/>
          <w:kern w:val="0"/>
          <w:sz w:val="24"/>
          <w:szCs w:val="24"/>
        </w:rPr>
      </w:pPr>
      <w:r>
        <w:rPr>
          <w:rFonts w:hint="eastAsia" w:cs="Arial" w:asciiTheme="minorEastAsia" w:hAnsiTheme="minorEastAsia"/>
          <w:bCs/>
          <w:kern w:val="0"/>
          <w:sz w:val="24"/>
          <w:szCs w:val="24"/>
        </w:rPr>
        <w:t>提供新生儿/儿童用药的临床应用和安全信息，收录临床医生、药师最关注的用法用量、用药建议、用药安全及儿童药代动力学信息。</w:t>
      </w:r>
    </w:p>
    <w:p w14:paraId="36355120">
      <w:pPr>
        <w:spacing w:line="360" w:lineRule="auto"/>
        <w:ind w:right="86" w:rightChars="41" w:firstLine="480" w:firstLineChars="200"/>
        <w:rPr>
          <w:rFonts w:hint="eastAsia" w:cs="Arial" w:asciiTheme="minorEastAsia" w:hAnsiTheme="minorEastAsia"/>
          <w:bCs/>
          <w:kern w:val="0"/>
          <w:sz w:val="24"/>
          <w:szCs w:val="24"/>
        </w:rPr>
      </w:pPr>
      <w:r>
        <w:rPr>
          <w:rFonts w:hint="eastAsia" w:cs="Arial" w:asciiTheme="minorEastAsia" w:hAnsiTheme="minorEastAsia"/>
          <w:bCs/>
          <w:kern w:val="0"/>
          <w:sz w:val="24"/>
          <w:szCs w:val="24"/>
        </w:rPr>
        <w:t>支持根据新生儿/儿童的年龄、体重、药品名称、适应症和给药途径计算用药剂量。</w:t>
      </w:r>
    </w:p>
    <w:p w14:paraId="36760727">
      <w:pPr>
        <w:pStyle w:val="43"/>
        <w:numPr>
          <w:ilvl w:val="0"/>
          <w:numId w:val="40"/>
        </w:numPr>
        <w:tabs>
          <w:tab w:val="left" w:pos="567"/>
        </w:tabs>
        <w:spacing w:line="360" w:lineRule="auto"/>
        <w:ind w:hanging="556" w:firstLineChars="0"/>
        <w:rPr>
          <w:rFonts w:hint="eastAsia" w:asciiTheme="minorEastAsia" w:hAnsiTheme="minorEastAsia"/>
          <w:b/>
          <w:bCs/>
          <w:sz w:val="24"/>
          <w:szCs w:val="24"/>
        </w:rPr>
      </w:pPr>
      <w:r>
        <w:rPr>
          <w:rFonts w:asciiTheme="minorEastAsia" w:hAnsiTheme="minorEastAsia"/>
          <w:b/>
          <w:bCs/>
          <w:sz w:val="24"/>
          <w:szCs w:val="24"/>
        </w:rPr>
        <w:t>合理用药审查功能</w:t>
      </w:r>
    </w:p>
    <w:p w14:paraId="68FD246E">
      <w:pPr>
        <w:spacing w:line="360" w:lineRule="auto"/>
        <w:ind w:right="86" w:rightChars="41" w:firstLine="470" w:firstLineChars="196"/>
        <w:rPr>
          <w:rFonts w:hint="eastAsia" w:cs="Arial" w:asciiTheme="minorEastAsia" w:hAnsiTheme="minorEastAsia"/>
          <w:kern w:val="0"/>
          <w:sz w:val="24"/>
          <w:szCs w:val="24"/>
        </w:rPr>
      </w:pPr>
      <w:r>
        <w:rPr>
          <w:rFonts w:cs="Arial" w:asciiTheme="minorEastAsia" w:hAnsiTheme="minorEastAsia"/>
          <w:kern w:val="0"/>
          <w:sz w:val="24"/>
          <w:szCs w:val="24"/>
        </w:rPr>
        <w:t>合理用药信息支持系统的审查功能包括：</w:t>
      </w:r>
    </w:p>
    <w:p w14:paraId="7ED0EE2D">
      <w:pPr>
        <w:pStyle w:val="43"/>
        <w:numPr>
          <w:ilvl w:val="0"/>
          <w:numId w:val="42"/>
        </w:numPr>
        <w:spacing w:line="360" w:lineRule="auto"/>
        <w:ind w:firstLineChars="0"/>
        <w:rPr>
          <w:rFonts w:hint="eastAsia" w:asciiTheme="minorEastAsia" w:hAnsiTheme="minorEastAsia"/>
          <w:b/>
          <w:vanish/>
          <w:sz w:val="24"/>
          <w:szCs w:val="24"/>
        </w:rPr>
      </w:pPr>
    </w:p>
    <w:p w14:paraId="4096B5C0">
      <w:pPr>
        <w:pStyle w:val="43"/>
        <w:numPr>
          <w:ilvl w:val="0"/>
          <w:numId w:val="42"/>
        </w:numPr>
        <w:spacing w:line="360" w:lineRule="auto"/>
        <w:ind w:firstLineChars="0"/>
        <w:rPr>
          <w:rFonts w:hint="eastAsia" w:asciiTheme="minorEastAsia" w:hAnsiTheme="minorEastAsia"/>
          <w:b/>
          <w:vanish/>
          <w:sz w:val="24"/>
          <w:szCs w:val="24"/>
        </w:rPr>
      </w:pPr>
    </w:p>
    <w:p w14:paraId="526B71D1">
      <w:pPr>
        <w:pStyle w:val="43"/>
        <w:numPr>
          <w:ilvl w:val="1"/>
          <w:numId w:val="42"/>
        </w:numPr>
        <w:spacing w:line="360" w:lineRule="auto"/>
        <w:ind w:firstLineChars="0"/>
        <w:rPr>
          <w:rFonts w:hint="eastAsia" w:asciiTheme="minorEastAsia" w:hAnsiTheme="minorEastAsia"/>
          <w:b/>
          <w:sz w:val="24"/>
          <w:szCs w:val="24"/>
        </w:rPr>
      </w:pPr>
      <w:r>
        <w:rPr>
          <w:rFonts w:hint="eastAsia" w:asciiTheme="minorEastAsia" w:hAnsiTheme="minorEastAsia"/>
          <w:b/>
          <w:sz w:val="24"/>
          <w:szCs w:val="24"/>
        </w:rPr>
        <w:t>药物相互作用审查功能</w:t>
      </w:r>
    </w:p>
    <w:p w14:paraId="7EFA414E">
      <w:pPr>
        <w:spacing w:line="360" w:lineRule="auto"/>
        <w:ind w:right="86" w:rightChars="41" w:firstLine="470" w:firstLineChars="196"/>
        <w:rPr>
          <w:rFonts w:hint="eastAsia" w:cs="Arial" w:asciiTheme="minorEastAsia" w:hAnsiTheme="minorEastAsia"/>
          <w:kern w:val="0"/>
          <w:sz w:val="24"/>
          <w:szCs w:val="24"/>
        </w:rPr>
      </w:pPr>
      <w:r>
        <w:rPr>
          <w:rFonts w:cs="Arial" w:asciiTheme="minorEastAsia" w:hAnsiTheme="minorEastAsia"/>
          <w:kern w:val="0"/>
          <w:sz w:val="24"/>
          <w:szCs w:val="24"/>
        </w:rPr>
        <w:t>全面收载国内外权威资料的药物-药物、药物-食物相互作用</w:t>
      </w:r>
      <w:r>
        <w:rPr>
          <w:rFonts w:hint="eastAsia" w:cs="Arial" w:asciiTheme="minorEastAsia" w:hAnsiTheme="minorEastAsia"/>
          <w:kern w:val="0"/>
          <w:sz w:val="24"/>
          <w:szCs w:val="24"/>
        </w:rPr>
        <w:t>、药物-咖啡因、药物-酒精相互作用，药物-保健品、保健品-保健品</w:t>
      </w:r>
      <w:r>
        <w:rPr>
          <w:rFonts w:cs="Arial" w:asciiTheme="minorEastAsia" w:hAnsiTheme="minorEastAsia"/>
          <w:kern w:val="0"/>
          <w:sz w:val="24"/>
          <w:szCs w:val="24"/>
        </w:rPr>
        <w:t>信息，</w:t>
      </w:r>
      <w:r>
        <w:rPr>
          <w:rFonts w:hint="eastAsia" w:cs="Arial" w:asciiTheme="minorEastAsia" w:hAnsiTheme="minorEastAsia"/>
          <w:kern w:val="0"/>
          <w:sz w:val="24"/>
          <w:szCs w:val="24"/>
          <w:lang w:eastAsia="zh-CN"/>
        </w:rPr>
        <w:t>收录</w:t>
      </w:r>
      <w:r>
        <w:rPr>
          <w:rFonts w:cs="Arial" w:asciiTheme="minorEastAsia" w:hAnsiTheme="minorEastAsia"/>
          <w:kern w:val="0"/>
          <w:sz w:val="24"/>
          <w:szCs w:val="24"/>
        </w:rPr>
        <w:t>西药与西药、中药与中药、中药和西药的相互作用信息。</w:t>
      </w:r>
    </w:p>
    <w:p w14:paraId="61A83A21">
      <w:pPr>
        <w:spacing w:line="360" w:lineRule="auto"/>
        <w:ind w:right="86" w:rightChars="41" w:firstLine="470" w:firstLineChars="196"/>
        <w:rPr>
          <w:rFonts w:hint="eastAsia" w:cs="Arial" w:asciiTheme="minorEastAsia" w:hAnsiTheme="minorEastAsia"/>
          <w:kern w:val="0"/>
          <w:sz w:val="24"/>
          <w:szCs w:val="24"/>
        </w:rPr>
      </w:pPr>
      <w:r>
        <w:rPr>
          <w:rFonts w:cs="Arial" w:asciiTheme="minorEastAsia" w:hAnsiTheme="minorEastAsia"/>
          <w:kern w:val="0"/>
          <w:sz w:val="24"/>
          <w:szCs w:val="24"/>
        </w:rPr>
        <w:t>内容包括了药物相互作用的</w:t>
      </w:r>
      <w:r>
        <w:rPr>
          <w:rFonts w:hint="eastAsia" w:cs="Arial" w:asciiTheme="minorEastAsia" w:hAnsiTheme="minorEastAsia"/>
          <w:kern w:val="0"/>
          <w:sz w:val="24"/>
          <w:szCs w:val="24"/>
        </w:rPr>
        <w:t>信息、</w:t>
      </w:r>
      <w:r>
        <w:rPr>
          <w:rFonts w:cs="Arial" w:asciiTheme="minorEastAsia" w:hAnsiTheme="minorEastAsia"/>
          <w:kern w:val="0"/>
          <w:sz w:val="24"/>
          <w:szCs w:val="24"/>
        </w:rPr>
        <w:t>结果、机制、临床处理、严重级别</w:t>
      </w:r>
      <w:r>
        <w:rPr>
          <w:rFonts w:hint="eastAsia" w:cs="Arial" w:asciiTheme="minorEastAsia" w:hAnsiTheme="minorEastAsia"/>
          <w:kern w:val="0"/>
          <w:sz w:val="24"/>
          <w:szCs w:val="24"/>
        </w:rPr>
        <w:t>、案例及报道的</w:t>
      </w:r>
      <w:r>
        <w:rPr>
          <w:rFonts w:cs="Arial" w:asciiTheme="minorEastAsia" w:hAnsiTheme="minorEastAsia"/>
          <w:kern w:val="0"/>
          <w:sz w:val="24"/>
          <w:szCs w:val="24"/>
        </w:rPr>
        <w:t>评价及讨论等内容。</w:t>
      </w:r>
    </w:p>
    <w:p w14:paraId="0DCAFA4E">
      <w:pPr>
        <w:spacing w:line="360" w:lineRule="auto"/>
        <w:ind w:right="86" w:rightChars="41" w:firstLine="470" w:firstLineChars="196"/>
        <w:rPr>
          <w:rFonts w:hint="eastAsia" w:cs="Arial" w:asciiTheme="minorEastAsia" w:hAnsiTheme="minorEastAsia"/>
          <w:kern w:val="0"/>
          <w:sz w:val="24"/>
          <w:szCs w:val="24"/>
        </w:rPr>
      </w:pPr>
      <w:r>
        <w:rPr>
          <w:rFonts w:cs="Arial" w:asciiTheme="minorEastAsia" w:hAnsiTheme="minorEastAsia"/>
          <w:kern w:val="0"/>
          <w:sz w:val="24"/>
          <w:szCs w:val="24"/>
        </w:rPr>
        <w:t>可实现单药相互作用分析及多药相互作用审查功能。</w:t>
      </w:r>
    </w:p>
    <w:p w14:paraId="3EF12E8B">
      <w:pPr>
        <w:spacing w:line="360" w:lineRule="auto"/>
        <w:ind w:right="86" w:rightChars="41" w:firstLine="470" w:firstLineChars="196"/>
        <w:rPr>
          <w:rFonts w:hint="eastAsia" w:cs="Arial" w:asciiTheme="minorEastAsia" w:hAnsiTheme="minorEastAsia"/>
          <w:kern w:val="0"/>
          <w:sz w:val="24"/>
          <w:szCs w:val="24"/>
        </w:rPr>
      </w:pPr>
      <w:r>
        <w:rPr>
          <w:rFonts w:cs="Arial" w:asciiTheme="minorEastAsia" w:hAnsiTheme="minorEastAsia"/>
          <w:kern w:val="0"/>
          <w:sz w:val="24"/>
          <w:szCs w:val="24"/>
        </w:rPr>
        <w:t>参考文献来自国内外的数据库、期刊文献等。</w:t>
      </w:r>
    </w:p>
    <w:p w14:paraId="45936AC7">
      <w:pPr>
        <w:pStyle w:val="43"/>
        <w:numPr>
          <w:ilvl w:val="1"/>
          <w:numId w:val="42"/>
        </w:numPr>
        <w:spacing w:line="360" w:lineRule="auto"/>
        <w:ind w:firstLineChars="0"/>
        <w:rPr>
          <w:rFonts w:hint="eastAsia" w:asciiTheme="minorEastAsia" w:hAnsiTheme="minorEastAsia"/>
          <w:b/>
          <w:sz w:val="24"/>
          <w:szCs w:val="24"/>
        </w:rPr>
      </w:pPr>
      <w:r>
        <w:rPr>
          <w:rFonts w:hint="eastAsia" w:asciiTheme="minorEastAsia" w:hAnsiTheme="minorEastAsia"/>
          <w:b/>
          <w:sz w:val="24"/>
          <w:szCs w:val="24"/>
        </w:rPr>
        <w:t>注射剂配伍审查功能</w:t>
      </w:r>
    </w:p>
    <w:p w14:paraId="43743DCB">
      <w:pPr>
        <w:spacing w:line="360" w:lineRule="auto"/>
        <w:ind w:right="86" w:rightChars="41" w:firstLine="470" w:firstLineChars="196"/>
        <w:rPr>
          <w:rFonts w:hint="eastAsia" w:cs="Arial" w:asciiTheme="minorEastAsia" w:hAnsiTheme="minorEastAsia"/>
          <w:kern w:val="0"/>
          <w:sz w:val="24"/>
          <w:szCs w:val="24"/>
        </w:rPr>
      </w:pPr>
      <w:r>
        <w:rPr>
          <w:rFonts w:hint="eastAsia" w:cs="Arial" w:asciiTheme="minorEastAsia" w:hAnsiTheme="minorEastAsia"/>
          <w:kern w:val="0"/>
          <w:sz w:val="24"/>
          <w:szCs w:val="24"/>
        </w:rPr>
        <w:t>提供两种或多种药物经大输液、注射器或Y形管配伍的审查、单药注射剂配伍查询及详细信息浏览。详细信息包括：注射药物配伍的物理化学变化及药效学变化、注射剂配伍的结论、严重级别、配伍的类型、配制方法、结论的说明和相关实验数据等信息。可实现单药注射剂配伍分析及对多药注射配伍审查功能。</w:t>
      </w:r>
    </w:p>
    <w:p w14:paraId="2934731C">
      <w:pPr>
        <w:widowControl/>
        <w:spacing w:line="360" w:lineRule="auto"/>
        <w:rPr>
          <w:rFonts w:hint="eastAsia" w:cs="Arial" w:asciiTheme="minorEastAsia" w:hAnsiTheme="minorEastAsia"/>
          <w:kern w:val="0"/>
          <w:sz w:val="24"/>
          <w:szCs w:val="24"/>
        </w:rPr>
      </w:pPr>
      <w:r>
        <w:rPr>
          <w:rFonts w:cs="Arial" w:asciiTheme="minorEastAsia" w:hAnsiTheme="minorEastAsia"/>
          <w:kern w:val="0"/>
          <w:sz w:val="24"/>
          <w:szCs w:val="24"/>
        </w:rPr>
        <w:br w:type="page"/>
      </w:r>
    </w:p>
    <w:p w14:paraId="41067FF1">
      <w:pPr>
        <w:keepNext/>
        <w:keepLines/>
        <w:numPr>
          <w:ilvl w:val="0"/>
          <w:numId w:val="11"/>
        </w:numPr>
        <w:spacing w:before="260" w:after="260" w:line="360" w:lineRule="auto"/>
        <w:outlineLvl w:val="1"/>
        <w:rPr>
          <w:rFonts w:hint="eastAsia" w:asciiTheme="minorEastAsia" w:hAnsiTheme="minorEastAsia" w:cstheme="majorBidi"/>
          <w:b/>
          <w:bCs/>
          <w:sz w:val="32"/>
          <w:szCs w:val="32"/>
        </w:rPr>
      </w:pPr>
      <w:r>
        <w:rPr>
          <w:rFonts w:hint="eastAsia" w:asciiTheme="minorEastAsia" w:hAnsiTheme="minorEastAsia" w:cstheme="majorBidi"/>
          <w:b/>
          <w:bCs/>
          <w:sz w:val="32"/>
          <w:szCs w:val="32"/>
        </w:rPr>
        <w:t>架构设计</w:t>
      </w:r>
    </w:p>
    <w:p w14:paraId="4166065E">
      <w:pPr>
        <w:pStyle w:val="4"/>
        <w:numPr>
          <w:ilvl w:val="0"/>
          <w:numId w:val="43"/>
        </w:numPr>
        <w:spacing w:line="360" w:lineRule="auto"/>
        <w:rPr>
          <w:rFonts w:hint="eastAsia" w:asciiTheme="minorEastAsia" w:hAnsiTheme="minorEastAsia"/>
          <w:sz w:val="28"/>
          <w:szCs w:val="28"/>
        </w:rPr>
      </w:pPr>
      <w:r>
        <w:rPr>
          <w:rFonts w:hint="eastAsia" w:asciiTheme="minorEastAsia" w:hAnsiTheme="minorEastAsia"/>
          <w:sz w:val="28"/>
          <w:szCs w:val="28"/>
        </w:rPr>
        <w:t>总体架构</w:t>
      </w:r>
    </w:p>
    <w:p w14:paraId="08A5A5F6">
      <w:pPr>
        <w:pStyle w:val="43"/>
        <w:widowControl/>
        <w:spacing w:line="360" w:lineRule="auto"/>
        <w:ind w:left="-6" w:leftChars="-3" w:firstLine="147" w:firstLineChars="70"/>
        <w:rPr>
          <w:rFonts w:hint="eastAsia" w:asciiTheme="minorEastAsia" w:hAnsiTheme="minorEastAsia"/>
        </w:rPr>
      </w:pPr>
      <w:r>
        <w:rPr>
          <w:rFonts w:asciiTheme="minorEastAsia" w:hAnsiTheme="minorEastAsia"/>
        </w:rPr>
        <w:object>
          <v:shape id="_x0000_i1025" o:spt="75" type="#_x0000_t75" style="height:409.15pt;width:440.95pt;" o:ole="t" filled="f" o:preferrelative="t" stroked="f" coordsize="21600,21600">
            <v:path/>
            <v:fill on="f" focussize="0,0"/>
            <v:stroke on="f"/>
            <v:imagedata r:id="rId8" o:title=""/>
            <o:lock v:ext="edit" aspectratio="t"/>
            <w10:wrap type="none"/>
            <w10:anchorlock/>
          </v:shape>
          <o:OLEObject Type="Embed" ProgID="Visio.Drawing.11" ShapeID="_x0000_i1025" DrawAspect="Content" ObjectID="_1468075725" r:id="rId7">
            <o:LockedField>false</o:LockedField>
          </o:OLEObject>
        </w:object>
      </w:r>
      <w:bookmarkStart w:id="67" w:name="_Toc26366"/>
    </w:p>
    <w:p w14:paraId="20DAC4E3">
      <w:pPr>
        <w:pStyle w:val="43"/>
        <w:widowControl/>
        <w:spacing w:line="360" w:lineRule="auto"/>
        <w:ind w:left="-6" w:leftChars="-3" w:firstLine="4" w:firstLineChars="2"/>
        <w:rPr>
          <w:rFonts w:hint="eastAsia" w:asciiTheme="minorEastAsia" w:hAnsiTheme="minorEastAsia"/>
        </w:rPr>
      </w:pPr>
      <w:r>
        <w:rPr>
          <w:rFonts w:hint="eastAsia" w:asciiTheme="minorEastAsia" w:hAnsiTheme="minorEastAsia"/>
        </w:rPr>
        <w:t>注：技术架构中产品应用以实际购买为准。</w:t>
      </w:r>
    </w:p>
    <w:p w14:paraId="3DD2BD8E">
      <w:pPr>
        <w:pStyle w:val="43"/>
        <w:widowControl/>
        <w:spacing w:line="360" w:lineRule="auto"/>
        <w:ind w:left="-6" w:leftChars="-3" w:firstLine="0" w:firstLineChars="0"/>
        <w:rPr>
          <w:rFonts w:hint="eastAsia" w:asciiTheme="minorEastAsia" w:hAnsiTheme="minorEastAsia"/>
          <w:sz w:val="24"/>
          <w:szCs w:val="24"/>
        </w:rPr>
      </w:pPr>
      <w:r>
        <w:rPr>
          <w:rFonts w:hint="eastAsia" w:asciiTheme="minorEastAsia" w:hAnsiTheme="minorEastAsia"/>
          <w:b/>
          <w:bCs/>
          <w:sz w:val="24"/>
          <w:szCs w:val="24"/>
        </w:rPr>
        <w:t>用户层</w:t>
      </w:r>
      <w:bookmarkEnd w:id="67"/>
      <w:r>
        <w:rPr>
          <w:rFonts w:hint="eastAsia" w:asciiTheme="minorEastAsia" w:hAnsiTheme="minorEastAsia"/>
          <w:b/>
          <w:bCs/>
          <w:sz w:val="24"/>
          <w:szCs w:val="24"/>
        </w:rPr>
        <w:t>：</w:t>
      </w:r>
      <w:r>
        <w:rPr>
          <w:rFonts w:hint="eastAsia" w:asciiTheme="minorEastAsia" w:hAnsiTheme="minorEastAsia"/>
          <w:sz w:val="24"/>
          <w:szCs w:val="24"/>
        </w:rPr>
        <w:t>对于涉众层而言，可访问系统的用户包括：临床医生、药师、技术及运维人员和系统管理员。</w:t>
      </w:r>
      <w:bookmarkStart w:id="68" w:name="_Toc19598"/>
    </w:p>
    <w:p w14:paraId="18C4DC21">
      <w:pPr>
        <w:widowControl/>
        <w:spacing w:line="360" w:lineRule="auto"/>
        <w:rPr>
          <w:rFonts w:hint="eastAsia" w:asciiTheme="minorEastAsia" w:hAnsiTheme="minorEastAsia"/>
          <w:sz w:val="24"/>
          <w:szCs w:val="24"/>
        </w:rPr>
      </w:pPr>
      <w:r>
        <w:rPr>
          <w:rFonts w:hint="eastAsia" w:asciiTheme="minorEastAsia" w:hAnsiTheme="minorEastAsia"/>
          <w:b/>
          <w:bCs/>
          <w:sz w:val="24"/>
          <w:szCs w:val="24"/>
        </w:rPr>
        <w:t>系统应用层</w:t>
      </w:r>
      <w:bookmarkEnd w:id="68"/>
      <w:r>
        <w:rPr>
          <w:rFonts w:hint="eastAsia" w:asciiTheme="minorEastAsia" w:hAnsiTheme="minorEastAsia"/>
          <w:sz w:val="24"/>
          <w:szCs w:val="24"/>
        </w:rPr>
        <w:t>：对于业务逻辑层而言，包括：网站静态部分、动态部分、公共服务和具体功能应用部分。</w:t>
      </w:r>
      <w:bookmarkStart w:id="69" w:name="_Toc18918"/>
    </w:p>
    <w:p w14:paraId="5C3E0EDE">
      <w:pPr>
        <w:widowControl/>
        <w:spacing w:line="360" w:lineRule="auto"/>
        <w:rPr>
          <w:rFonts w:hint="eastAsia" w:asciiTheme="minorEastAsia" w:hAnsiTheme="minorEastAsia"/>
          <w:sz w:val="24"/>
          <w:szCs w:val="24"/>
        </w:rPr>
      </w:pPr>
      <w:r>
        <w:rPr>
          <w:rFonts w:hint="eastAsia" w:asciiTheme="minorEastAsia" w:hAnsiTheme="minorEastAsia"/>
          <w:b/>
          <w:bCs/>
          <w:sz w:val="24"/>
          <w:szCs w:val="24"/>
        </w:rPr>
        <w:t>系统数据层</w:t>
      </w:r>
      <w:bookmarkEnd w:id="69"/>
      <w:r>
        <w:rPr>
          <w:rFonts w:hint="eastAsia" w:cs="Times New Roman" w:asciiTheme="minorEastAsia" w:hAnsiTheme="minorEastAsia"/>
          <w:sz w:val="24"/>
          <w:szCs w:val="24"/>
        </w:rPr>
        <w:t>：</w:t>
      </w:r>
      <w:r>
        <w:rPr>
          <w:rFonts w:hint="eastAsia" w:asciiTheme="minorEastAsia" w:hAnsiTheme="minorEastAsia"/>
          <w:sz w:val="24"/>
          <w:szCs w:val="24"/>
        </w:rPr>
        <w:t>数据层将整个业务的数据在逻辑上分成了核心数据数据、缓存数据。核心数据通过关系型数据库保存，缓存数据通过内存数据库保存来提高查询效率。</w:t>
      </w:r>
    </w:p>
    <w:p w14:paraId="23091D87">
      <w:pPr>
        <w:widowControl/>
        <w:spacing w:line="360" w:lineRule="auto"/>
        <w:rPr>
          <w:rFonts w:hint="eastAsia" w:asciiTheme="minorEastAsia" w:hAnsiTheme="minorEastAsia"/>
          <w:sz w:val="24"/>
          <w:szCs w:val="24"/>
        </w:rPr>
      </w:pPr>
      <w:r>
        <w:rPr>
          <w:rFonts w:hint="eastAsia" w:asciiTheme="minorEastAsia" w:hAnsiTheme="minorEastAsia"/>
          <w:b/>
          <w:bCs/>
          <w:sz w:val="24"/>
          <w:szCs w:val="24"/>
        </w:rPr>
        <w:t>基础设施层</w:t>
      </w:r>
      <w:r>
        <w:rPr>
          <w:rFonts w:hint="eastAsia" w:asciiTheme="minorEastAsia" w:hAnsiTheme="minorEastAsia"/>
          <w:sz w:val="24"/>
          <w:szCs w:val="24"/>
        </w:rPr>
        <w:t>：整个系统的部署环境，如服务器、操作系统、中间件等软硬件等设施层。</w:t>
      </w:r>
    </w:p>
    <w:p w14:paraId="705FD073">
      <w:pPr>
        <w:pStyle w:val="4"/>
        <w:numPr>
          <w:ilvl w:val="0"/>
          <w:numId w:val="43"/>
        </w:numPr>
        <w:spacing w:line="360" w:lineRule="auto"/>
        <w:rPr>
          <w:rFonts w:hint="eastAsia" w:asciiTheme="minorEastAsia" w:hAnsiTheme="minorEastAsia"/>
          <w:sz w:val="28"/>
          <w:szCs w:val="28"/>
        </w:rPr>
      </w:pPr>
      <w:r>
        <w:rPr>
          <w:rFonts w:hint="eastAsia" w:asciiTheme="minorEastAsia" w:hAnsiTheme="minorEastAsia"/>
          <w:sz w:val="28"/>
          <w:szCs w:val="28"/>
        </w:rPr>
        <w:t>技术架构</w:t>
      </w:r>
    </w:p>
    <w:p w14:paraId="34A8289E">
      <w:pPr>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系统采用微服务的架构，由多个微服务和前端展示层组成，将整个系统平台拆分成多个小型、独立的服务，每个服务都围绕特定的子系统功能构建，每个服务都可以独立地进行开发、测试、部署和扩展。</w:t>
      </w:r>
    </w:p>
    <w:p w14:paraId="72FA77AB">
      <w:pPr>
        <w:pStyle w:val="43"/>
        <w:numPr>
          <w:ilvl w:val="0"/>
          <w:numId w:val="44"/>
        </w:numPr>
        <w:spacing w:line="360" w:lineRule="auto"/>
        <w:ind w:firstLineChars="0"/>
        <w:rPr>
          <w:rFonts w:hint="eastAsia" w:asciiTheme="minorEastAsia" w:hAnsiTheme="minorEastAsia"/>
          <w:b/>
          <w:bCs/>
          <w:sz w:val="24"/>
          <w:szCs w:val="24"/>
        </w:rPr>
      </w:pPr>
      <w:r>
        <w:rPr>
          <w:rFonts w:hint="eastAsia" w:asciiTheme="minorEastAsia" w:hAnsiTheme="minorEastAsia"/>
          <w:b/>
          <w:bCs/>
          <w:sz w:val="24"/>
          <w:szCs w:val="24"/>
        </w:rPr>
        <w:t>技术选型</w:t>
      </w:r>
    </w:p>
    <w:p w14:paraId="46C5A45F">
      <w:pPr>
        <w:pStyle w:val="43"/>
        <w:numPr>
          <w:ilvl w:val="0"/>
          <w:numId w:val="45"/>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开发语言：</w:t>
      </w:r>
      <w:r>
        <w:rPr>
          <w:rFonts w:asciiTheme="minorEastAsia" w:hAnsiTheme="minorEastAsia"/>
          <w:sz w:val="24"/>
          <w:szCs w:val="24"/>
        </w:rPr>
        <w:t>JAVA</w:t>
      </w:r>
      <w:r>
        <w:rPr>
          <w:rFonts w:hint="eastAsia" w:asciiTheme="minorEastAsia" w:hAnsiTheme="minorEastAsia"/>
          <w:sz w:val="24"/>
          <w:szCs w:val="24"/>
        </w:rPr>
        <w:t>（</w:t>
      </w:r>
      <w:r>
        <w:rPr>
          <w:rFonts w:asciiTheme="minorEastAsia" w:hAnsiTheme="minorEastAsia"/>
          <w:sz w:val="24"/>
          <w:szCs w:val="24"/>
        </w:rPr>
        <w:t>JDK1.8</w:t>
      </w:r>
      <w:r>
        <w:rPr>
          <w:rFonts w:hint="eastAsia" w:asciiTheme="minorEastAsia" w:hAnsiTheme="minorEastAsia"/>
          <w:sz w:val="24"/>
          <w:szCs w:val="24"/>
        </w:rPr>
        <w:t>）</w:t>
      </w:r>
    </w:p>
    <w:p w14:paraId="5725B55F">
      <w:pPr>
        <w:pStyle w:val="43"/>
        <w:numPr>
          <w:ilvl w:val="0"/>
          <w:numId w:val="45"/>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开发框架：后端</w:t>
      </w:r>
      <w:r>
        <w:rPr>
          <w:rFonts w:asciiTheme="minorEastAsia" w:hAnsiTheme="minorEastAsia"/>
          <w:sz w:val="24"/>
          <w:szCs w:val="24"/>
        </w:rPr>
        <w:t>Spring Cloud</w:t>
      </w:r>
      <w:r>
        <w:rPr>
          <w:rFonts w:hint="eastAsia" w:asciiTheme="minorEastAsia" w:hAnsiTheme="minorEastAsia"/>
          <w:sz w:val="24"/>
          <w:szCs w:val="24"/>
        </w:rPr>
        <w:t>、前端</w:t>
      </w:r>
      <w:r>
        <w:rPr>
          <w:rFonts w:asciiTheme="minorEastAsia" w:hAnsiTheme="minorEastAsia"/>
          <w:sz w:val="24"/>
          <w:szCs w:val="24"/>
        </w:rPr>
        <w:t>VUE</w:t>
      </w:r>
    </w:p>
    <w:p w14:paraId="1151B652">
      <w:pPr>
        <w:pStyle w:val="43"/>
        <w:numPr>
          <w:ilvl w:val="0"/>
          <w:numId w:val="45"/>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中间件：</w:t>
      </w:r>
      <w:r>
        <w:rPr>
          <w:rFonts w:asciiTheme="minorEastAsia" w:hAnsiTheme="minorEastAsia"/>
          <w:sz w:val="24"/>
          <w:szCs w:val="24"/>
        </w:rPr>
        <w:t>Nginx</w:t>
      </w:r>
      <w:r>
        <w:rPr>
          <w:rFonts w:hint="eastAsia" w:asciiTheme="minorEastAsia" w:hAnsiTheme="minorEastAsia"/>
          <w:sz w:val="24"/>
          <w:szCs w:val="24"/>
        </w:rPr>
        <w:t>、</w:t>
      </w:r>
      <w:r>
        <w:rPr>
          <w:rFonts w:asciiTheme="minorEastAsia" w:hAnsiTheme="minorEastAsia"/>
          <w:sz w:val="24"/>
          <w:szCs w:val="24"/>
        </w:rPr>
        <w:t>Undertow</w:t>
      </w:r>
    </w:p>
    <w:p w14:paraId="5230F994">
      <w:pPr>
        <w:pStyle w:val="43"/>
        <w:numPr>
          <w:ilvl w:val="0"/>
          <w:numId w:val="45"/>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数据库：</w:t>
      </w:r>
      <w:r>
        <w:rPr>
          <w:rFonts w:asciiTheme="minorEastAsia" w:hAnsiTheme="minorEastAsia"/>
          <w:sz w:val="24"/>
          <w:szCs w:val="24"/>
        </w:rPr>
        <w:t>PostgreSQL</w:t>
      </w:r>
      <w:r>
        <w:rPr>
          <w:rFonts w:hint="eastAsia" w:asciiTheme="minorEastAsia" w:hAnsiTheme="minorEastAsia"/>
          <w:sz w:val="24"/>
          <w:szCs w:val="24"/>
        </w:rPr>
        <w:t>（</w:t>
      </w:r>
      <w:r>
        <w:rPr>
          <w:rFonts w:asciiTheme="minorEastAsia" w:hAnsiTheme="minorEastAsia"/>
          <w:sz w:val="24"/>
          <w:szCs w:val="24"/>
        </w:rPr>
        <w:t>15</w:t>
      </w:r>
      <w:r>
        <w:rPr>
          <w:rFonts w:hint="eastAsia" w:asciiTheme="minorEastAsia" w:hAnsiTheme="minorEastAsia"/>
          <w:sz w:val="24"/>
          <w:szCs w:val="24"/>
        </w:rPr>
        <w:t>）</w:t>
      </w:r>
    </w:p>
    <w:p w14:paraId="6D34CAF7">
      <w:pPr>
        <w:pStyle w:val="43"/>
        <w:numPr>
          <w:ilvl w:val="0"/>
          <w:numId w:val="45"/>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集中缓存：</w:t>
      </w:r>
      <w:r>
        <w:rPr>
          <w:rFonts w:asciiTheme="minorEastAsia" w:hAnsiTheme="minorEastAsia"/>
          <w:sz w:val="24"/>
          <w:szCs w:val="24"/>
        </w:rPr>
        <w:t>Redis</w:t>
      </w:r>
    </w:p>
    <w:p w14:paraId="1037CF01">
      <w:pPr>
        <w:pStyle w:val="43"/>
        <w:numPr>
          <w:ilvl w:val="0"/>
          <w:numId w:val="45"/>
        </w:numPr>
        <w:spacing w:line="360" w:lineRule="auto"/>
        <w:ind w:firstLineChars="0"/>
        <w:rPr>
          <w:rFonts w:asciiTheme="minorEastAsia" w:hAnsiTheme="minorEastAsia"/>
          <w:sz w:val="24"/>
          <w:szCs w:val="24"/>
        </w:rPr>
      </w:pPr>
      <w:r>
        <w:rPr>
          <w:rFonts w:hint="eastAsia" w:asciiTheme="minorEastAsia" w:hAnsiTheme="minorEastAsia"/>
          <w:sz w:val="24"/>
          <w:szCs w:val="24"/>
        </w:rPr>
        <w:t>服务端操作系统：</w:t>
      </w:r>
      <w:r>
        <w:rPr>
          <w:rFonts w:asciiTheme="minorEastAsia" w:hAnsiTheme="minorEastAsia"/>
          <w:sz w:val="24"/>
          <w:szCs w:val="24"/>
        </w:rPr>
        <w:t>Windows</w:t>
      </w:r>
      <w:r>
        <w:rPr>
          <w:rFonts w:hint="eastAsia" w:asciiTheme="minorEastAsia" w:hAnsiTheme="minorEastAsia"/>
          <w:sz w:val="24"/>
          <w:szCs w:val="24"/>
        </w:rPr>
        <w:t>、</w:t>
      </w:r>
      <w:r>
        <w:rPr>
          <w:rFonts w:asciiTheme="minorEastAsia" w:hAnsiTheme="minorEastAsia"/>
          <w:sz w:val="24"/>
          <w:szCs w:val="24"/>
        </w:rPr>
        <w:t>Linux</w:t>
      </w:r>
      <w:r>
        <w:rPr>
          <w:rFonts w:hint="eastAsia" w:asciiTheme="minorEastAsia" w:hAnsiTheme="minorEastAsia"/>
          <w:sz w:val="24"/>
          <w:szCs w:val="24"/>
        </w:rPr>
        <w:t>、国产系统（</w:t>
      </w:r>
      <w:r>
        <w:rPr>
          <w:rFonts w:asciiTheme="minorEastAsia" w:hAnsiTheme="minorEastAsia"/>
          <w:sz w:val="24"/>
          <w:szCs w:val="24"/>
        </w:rPr>
        <w:t>Linux</w:t>
      </w:r>
      <w:r>
        <w:rPr>
          <w:rFonts w:hint="eastAsia" w:asciiTheme="minorEastAsia" w:hAnsiTheme="minorEastAsia"/>
          <w:sz w:val="24"/>
          <w:szCs w:val="24"/>
        </w:rPr>
        <w:t>内核）</w:t>
      </w:r>
    </w:p>
    <w:p w14:paraId="5FF40A19">
      <w:pPr>
        <w:spacing w:line="360" w:lineRule="auto"/>
        <w:rPr>
          <w:rFonts w:hint="eastAsia" w:asciiTheme="minorEastAsia" w:hAnsiTheme="minorEastAsia"/>
          <w:sz w:val="24"/>
          <w:szCs w:val="24"/>
        </w:rPr>
      </w:pPr>
      <w:r>
        <w:rPr>
          <w:rFonts w:asciiTheme="minorEastAsia" w:hAnsiTheme="minorEastAsia"/>
        </w:rPr>
        <w:object>
          <v:shape id="_x0000_i1026" o:spt="75" type="#_x0000_t75" style="height:237.75pt;width:444.5pt;" o:ole="t" filled="f" o:preferrelative="t" stroked="f" coordsize="21600,21600">
            <v:path/>
            <v:fill on="f" focussize="0,0"/>
            <v:stroke on="f"/>
            <v:imagedata r:id="rId10" cropleft="-1665f" croptop="27464f" cropbottom="23296f" o:title=""/>
            <o:lock v:ext="edit" aspectratio="t"/>
            <w10:wrap type="none"/>
            <w10:anchorlock/>
          </v:shape>
          <o:OLEObject Type="Embed" ProgID="Visio.Drawing.11" ShapeID="_x0000_i1026" DrawAspect="Content" ObjectID="_1468075726" r:id="rId9">
            <o:LockedField>false</o:LockedField>
          </o:OLEObject>
        </w:object>
      </w:r>
      <w:r>
        <w:rPr>
          <w:rFonts w:hint="eastAsia" w:asciiTheme="minorEastAsia" w:hAnsiTheme="minorEastAsia"/>
        </w:rPr>
        <w:t>注：技术架构中业务服务以实际购买为准。</w:t>
      </w:r>
    </w:p>
    <w:p w14:paraId="7E4425FF">
      <w:pPr>
        <w:pStyle w:val="43"/>
        <w:numPr>
          <w:ilvl w:val="0"/>
          <w:numId w:val="44"/>
        </w:numPr>
        <w:spacing w:line="360" w:lineRule="auto"/>
        <w:ind w:firstLineChars="0"/>
        <w:rPr>
          <w:rFonts w:hint="eastAsia" w:asciiTheme="minorEastAsia" w:hAnsiTheme="minorEastAsia"/>
          <w:b/>
          <w:bCs/>
          <w:sz w:val="24"/>
          <w:szCs w:val="24"/>
        </w:rPr>
      </w:pPr>
      <w:r>
        <w:rPr>
          <w:rFonts w:hint="eastAsia" w:asciiTheme="minorEastAsia" w:hAnsiTheme="minorEastAsia"/>
          <w:b/>
          <w:bCs/>
          <w:sz w:val="24"/>
          <w:szCs w:val="24"/>
        </w:rPr>
        <w:t>产品的技术架构分为六层</w:t>
      </w:r>
    </w:p>
    <w:p w14:paraId="3D322CA0">
      <w:pPr>
        <w:pStyle w:val="43"/>
        <w:numPr>
          <w:ilvl w:val="0"/>
          <w:numId w:val="46"/>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展示层：用户层提供用户访问页面，由药师、相关管理人员等直接通过浏览器使用。</w:t>
      </w:r>
    </w:p>
    <w:p w14:paraId="06071FC2">
      <w:pPr>
        <w:pStyle w:val="43"/>
        <w:numPr>
          <w:ilvl w:val="0"/>
          <w:numId w:val="46"/>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接入层：nginx是一个高性能的web服务器和反向代理服务器，也是一个IMAP/POP3/SMTP服务器，提供给展示层的容器。</w:t>
      </w:r>
    </w:p>
    <w:p w14:paraId="06B71F1A">
      <w:pPr>
        <w:pStyle w:val="43"/>
        <w:numPr>
          <w:ilvl w:val="0"/>
          <w:numId w:val="46"/>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网关层：提供API全托管服务，丰富的API管理功能，辅助企业管理大规模的API，以降低管理成本和安全风险，包括协议适配、协议转发、安全策略、防刷、流量、监控日志等功能。</w:t>
      </w:r>
    </w:p>
    <w:p w14:paraId="436C3B0D">
      <w:pPr>
        <w:pStyle w:val="43"/>
        <w:numPr>
          <w:ilvl w:val="0"/>
          <w:numId w:val="46"/>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服务层：开发的各个服务会借助下层的平台层的支持来相互作用,以提供业务和技术功能。</w:t>
      </w:r>
    </w:p>
    <w:p w14:paraId="2E4A9591">
      <w:pPr>
        <w:pStyle w:val="43"/>
        <w:numPr>
          <w:ilvl w:val="0"/>
          <w:numId w:val="46"/>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基础服务层：通用服务相关，比如用户登录、鉴权服务、消息服务。</w:t>
      </w:r>
    </w:p>
    <w:p w14:paraId="2A29B87C">
      <w:pPr>
        <w:pStyle w:val="43"/>
        <w:numPr>
          <w:ilvl w:val="0"/>
          <w:numId w:val="46"/>
        </w:numPr>
        <w:spacing w:line="360" w:lineRule="auto"/>
        <w:ind w:firstLineChars="0"/>
        <w:rPr>
          <w:rFonts w:hint="eastAsia" w:asciiTheme="minorEastAsia" w:hAnsiTheme="minorEastAsia"/>
          <w:sz w:val="24"/>
          <w:szCs w:val="24"/>
        </w:rPr>
      </w:pPr>
      <w:r>
        <w:rPr>
          <w:rFonts w:hint="eastAsia" w:asciiTheme="minorEastAsia" w:hAnsiTheme="minorEastAsia"/>
          <w:sz w:val="24"/>
          <w:szCs w:val="24"/>
        </w:rPr>
        <w:t>基础设施层：包括主数据库、缓存数据库等。主数据库选择postgresql数据库，缓存数据库选择redis以及h2内存数据库；以Java作为底层技术环境，可在window、linux等环境下提供应用，也可支持信创国产化环境的适配。</w:t>
      </w:r>
    </w:p>
    <w:p w14:paraId="211914EF">
      <w:pPr>
        <w:pStyle w:val="4"/>
        <w:numPr>
          <w:ilvl w:val="0"/>
          <w:numId w:val="43"/>
        </w:numPr>
        <w:spacing w:line="360" w:lineRule="auto"/>
        <w:rPr>
          <w:rFonts w:hint="eastAsia" w:asciiTheme="minorEastAsia" w:hAnsiTheme="minorEastAsia"/>
          <w:sz w:val="28"/>
          <w:szCs w:val="28"/>
        </w:rPr>
      </w:pPr>
      <w:r>
        <w:rPr>
          <w:rFonts w:hint="eastAsia" w:asciiTheme="minorEastAsia" w:hAnsiTheme="minorEastAsia"/>
          <w:sz w:val="28"/>
          <w:szCs w:val="28"/>
        </w:rPr>
        <w:t>部署架构</w:t>
      </w:r>
    </w:p>
    <w:p w14:paraId="42184953">
      <w:pPr>
        <w:spacing w:line="360" w:lineRule="auto"/>
        <w:ind w:firstLine="424" w:firstLineChars="202"/>
        <w:rPr>
          <w:rFonts w:hint="eastAsia" w:asciiTheme="minorEastAsia" w:hAnsiTheme="minorEastAsia"/>
          <w:sz w:val="24"/>
          <w:szCs w:val="24"/>
          <w:highlight w:val="yellow"/>
        </w:rPr>
      </w:pPr>
      <w:r>
        <w:rPr>
          <w:rFonts w:asciiTheme="minorEastAsia" w:hAnsiTheme="minorEastAsia"/>
        </w:rPr>
        <w:object>
          <v:shape id="_x0000_i1027" o:spt="75" type="#_x0000_t75" style="height:257.4pt;width:422.6pt;" o:ole="t" filled="f" o:preferrelative="t" stroked="f" coordsize="21600,21600">
            <v:path/>
            <v:fill on="f" focussize="0,0"/>
            <v:stroke on="f"/>
            <v:imagedata r:id="rId12" cropleft="26011f" cropright="18587f" o:title=""/>
            <o:lock v:ext="edit" aspectratio="t"/>
            <w10:wrap type="none"/>
            <w10:anchorlock/>
          </v:shape>
          <o:OLEObject Type="Embed" ProgID="Visio.Drawing.11" ShapeID="_x0000_i1027" DrawAspect="Content" ObjectID="_1468075727" r:id="rId11">
            <o:LockedField>false</o:LockedField>
          </o:OLEObject>
        </w:object>
      </w:r>
    </w:p>
    <w:p w14:paraId="6CAE02D0">
      <w:pPr>
        <w:spacing w:line="360" w:lineRule="auto"/>
        <w:ind w:firstLine="210" w:firstLineChars="100"/>
        <w:rPr>
          <w:rFonts w:hint="eastAsia" w:asciiTheme="minorEastAsia" w:hAnsiTheme="minorEastAsia"/>
          <w:sz w:val="24"/>
          <w:szCs w:val="24"/>
          <w:highlight w:val="yellow"/>
        </w:rPr>
      </w:pPr>
      <w:r>
        <w:rPr>
          <w:rFonts w:hint="eastAsia" w:asciiTheme="minorEastAsia" w:hAnsiTheme="minorEastAsia"/>
        </w:rPr>
        <w:t>注：技术架构中系统服务以实际购买为准。</w:t>
      </w:r>
    </w:p>
    <w:p w14:paraId="7C06D0C6">
      <w:pPr>
        <w:spacing w:line="360" w:lineRule="auto"/>
        <w:ind w:firstLine="480" w:firstLineChars="200"/>
        <w:rPr>
          <w:rFonts w:hint="eastAsia" w:cs="仿宋" w:asciiTheme="minorEastAsia" w:hAnsiTheme="minorEastAsia"/>
          <w:sz w:val="24"/>
          <w:szCs w:val="24"/>
          <w:lang w:val="zh-CN"/>
        </w:rPr>
      </w:pPr>
      <w:r>
        <w:rPr>
          <w:rFonts w:cs="仿宋" w:asciiTheme="minorEastAsia" w:hAnsiTheme="minorEastAsia"/>
          <w:sz w:val="24"/>
          <w:szCs w:val="24"/>
          <w:lang w:val="zh-CN"/>
        </w:rPr>
        <w:t>SpringCloud集成了各种微服务功能组件，并基于SpringBoot实现了这些组件的自动装配，从而提供了良好的开箱即用体验</w:t>
      </w:r>
      <w:r>
        <w:rPr>
          <w:rFonts w:hint="eastAsia" w:cs="仿宋" w:asciiTheme="minorEastAsia" w:hAnsiTheme="minorEastAsia"/>
          <w:sz w:val="24"/>
          <w:szCs w:val="24"/>
          <w:lang w:val="zh-CN"/>
        </w:rPr>
        <w:t>，有如下组件：</w:t>
      </w:r>
    </w:p>
    <w:p w14:paraId="740E6564">
      <w:pPr>
        <w:pStyle w:val="43"/>
        <w:numPr>
          <w:ilvl w:val="0"/>
          <w:numId w:val="47"/>
        </w:numPr>
        <w:spacing w:line="360" w:lineRule="auto"/>
        <w:ind w:firstLineChars="0"/>
        <w:rPr>
          <w:rFonts w:hint="eastAsia" w:cs="仿宋" w:asciiTheme="minorEastAsia" w:hAnsiTheme="minorEastAsia"/>
          <w:sz w:val="24"/>
          <w:szCs w:val="24"/>
          <w:lang w:val="zh-CN"/>
        </w:rPr>
      </w:pPr>
      <w:r>
        <w:rPr>
          <w:rFonts w:hint="eastAsia" w:cs="仿宋" w:asciiTheme="minorEastAsia" w:hAnsiTheme="minorEastAsia"/>
          <w:sz w:val="24"/>
          <w:szCs w:val="24"/>
          <w:lang w:val="zh-CN"/>
        </w:rPr>
        <w:t>服务注册和发现（e</w:t>
      </w:r>
      <w:r>
        <w:rPr>
          <w:rFonts w:cs="仿宋" w:asciiTheme="minorEastAsia" w:hAnsiTheme="minorEastAsia"/>
          <w:sz w:val="24"/>
          <w:szCs w:val="24"/>
          <w:lang w:val="zh-CN"/>
        </w:rPr>
        <w:t>ureka</w:t>
      </w:r>
      <w:r>
        <w:rPr>
          <w:rFonts w:hint="eastAsia" w:cs="仿宋" w:asciiTheme="minorEastAsia" w:hAnsiTheme="minorEastAsia"/>
          <w:sz w:val="24"/>
          <w:szCs w:val="24"/>
          <w:lang w:val="zh-CN"/>
        </w:rPr>
        <w:t>、na</w:t>
      </w:r>
      <w:r>
        <w:rPr>
          <w:rFonts w:cs="仿宋" w:asciiTheme="minorEastAsia" w:hAnsiTheme="minorEastAsia"/>
          <w:sz w:val="24"/>
          <w:szCs w:val="24"/>
          <w:lang w:val="zh-CN"/>
        </w:rPr>
        <w:t>cos</w:t>
      </w:r>
      <w:r>
        <w:rPr>
          <w:rFonts w:hint="eastAsia" w:cs="仿宋" w:asciiTheme="minorEastAsia" w:hAnsiTheme="minorEastAsia"/>
          <w:sz w:val="24"/>
          <w:szCs w:val="24"/>
          <w:lang w:val="zh-CN"/>
        </w:rPr>
        <w:t>、cons</w:t>
      </w:r>
      <w:r>
        <w:rPr>
          <w:rFonts w:cs="仿宋" w:asciiTheme="minorEastAsia" w:hAnsiTheme="minorEastAsia"/>
          <w:sz w:val="24"/>
          <w:szCs w:val="24"/>
          <w:lang w:val="zh-CN"/>
        </w:rPr>
        <w:t>ul</w:t>
      </w:r>
      <w:r>
        <w:rPr>
          <w:rFonts w:hint="eastAsia" w:cs="仿宋" w:asciiTheme="minorEastAsia" w:hAnsiTheme="minorEastAsia"/>
          <w:sz w:val="24"/>
          <w:szCs w:val="24"/>
          <w:lang w:val="zh-CN"/>
        </w:rPr>
        <w:t>）</w:t>
      </w:r>
    </w:p>
    <w:p w14:paraId="69BCDA52">
      <w:pPr>
        <w:pStyle w:val="43"/>
        <w:numPr>
          <w:ilvl w:val="0"/>
          <w:numId w:val="47"/>
        </w:numPr>
        <w:spacing w:line="360" w:lineRule="auto"/>
        <w:ind w:firstLineChars="0"/>
        <w:rPr>
          <w:rFonts w:hint="eastAsia" w:cs="仿宋" w:asciiTheme="minorEastAsia" w:hAnsiTheme="minorEastAsia"/>
          <w:sz w:val="24"/>
          <w:szCs w:val="24"/>
          <w:lang w:val="zh-CN"/>
        </w:rPr>
      </w:pPr>
      <w:r>
        <w:rPr>
          <w:rFonts w:hint="eastAsia" w:cs="仿宋" w:asciiTheme="minorEastAsia" w:hAnsiTheme="minorEastAsia"/>
          <w:sz w:val="24"/>
          <w:szCs w:val="24"/>
          <w:lang w:val="zh-CN"/>
        </w:rPr>
        <w:t>服务远程调用(</w:t>
      </w:r>
      <w:r>
        <w:rPr>
          <w:rFonts w:cs="仿宋" w:asciiTheme="minorEastAsia" w:hAnsiTheme="minorEastAsia"/>
          <w:sz w:val="24"/>
          <w:szCs w:val="24"/>
          <w:lang w:val="zh-CN"/>
        </w:rPr>
        <w:t>openfeign</w:t>
      </w:r>
      <w:r>
        <w:rPr>
          <w:rFonts w:hint="eastAsia" w:cs="仿宋" w:asciiTheme="minorEastAsia" w:hAnsiTheme="minorEastAsia"/>
          <w:sz w:val="24"/>
          <w:szCs w:val="24"/>
          <w:lang w:val="zh-CN"/>
        </w:rPr>
        <w:t>、dubbo</w:t>
      </w:r>
      <w:r>
        <w:rPr>
          <w:rFonts w:cs="仿宋" w:asciiTheme="minorEastAsia" w:hAnsiTheme="minorEastAsia"/>
          <w:sz w:val="24"/>
          <w:szCs w:val="24"/>
          <w:lang w:val="zh-CN"/>
        </w:rPr>
        <w:t>)</w:t>
      </w:r>
    </w:p>
    <w:p w14:paraId="6C015174">
      <w:pPr>
        <w:pStyle w:val="43"/>
        <w:numPr>
          <w:ilvl w:val="0"/>
          <w:numId w:val="47"/>
        </w:numPr>
        <w:spacing w:line="360" w:lineRule="auto"/>
        <w:ind w:firstLineChars="0"/>
        <w:rPr>
          <w:rFonts w:hint="eastAsia" w:cs="仿宋" w:asciiTheme="minorEastAsia" w:hAnsiTheme="minorEastAsia"/>
          <w:sz w:val="24"/>
          <w:szCs w:val="24"/>
          <w:lang w:val="zh-CN"/>
        </w:rPr>
      </w:pPr>
      <w:r>
        <w:rPr>
          <w:rFonts w:hint="eastAsia" w:cs="仿宋" w:asciiTheme="minorEastAsia" w:hAnsiTheme="minorEastAsia"/>
          <w:sz w:val="24"/>
          <w:szCs w:val="24"/>
          <w:lang w:val="zh-CN"/>
        </w:rPr>
        <w:t>服务链监控(</w:t>
      </w:r>
      <w:r>
        <w:rPr>
          <w:rFonts w:cs="仿宋" w:asciiTheme="minorEastAsia" w:hAnsiTheme="minorEastAsia"/>
          <w:sz w:val="24"/>
          <w:szCs w:val="24"/>
          <w:lang w:val="zh-CN"/>
        </w:rPr>
        <w:t>zipkin</w:t>
      </w:r>
      <w:r>
        <w:rPr>
          <w:rFonts w:hint="eastAsia" w:cs="仿宋" w:asciiTheme="minorEastAsia" w:hAnsiTheme="minorEastAsia"/>
          <w:sz w:val="24"/>
          <w:szCs w:val="24"/>
          <w:lang w:val="zh-CN"/>
        </w:rPr>
        <w:t>、sle</w:t>
      </w:r>
      <w:r>
        <w:rPr>
          <w:rFonts w:cs="仿宋" w:asciiTheme="minorEastAsia" w:hAnsiTheme="minorEastAsia"/>
          <w:sz w:val="24"/>
          <w:szCs w:val="24"/>
          <w:lang w:val="zh-CN"/>
        </w:rPr>
        <w:t>uth)</w:t>
      </w:r>
    </w:p>
    <w:p w14:paraId="0730F713">
      <w:pPr>
        <w:pStyle w:val="43"/>
        <w:numPr>
          <w:ilvl w:val="0"/>
          <w:numId w:val="47"/>
        </w:numPr>
        <w:spacing w:line="360" w:lineRule="auto"/>
        <w:ind w:firstLineChars="0"/>
        <w:rPr>
          <w:rFonts w:hint="eastAsia" w:cs="仿宋" w:asciiTheme="minorEastAsia" w:hAnsiTheme="minorEastAsia"/>
          <w:sz w:val="24"/>
          <w:szCs w:val="24"/>
          <w:lang w:val="zh-CN"/>
        </w:rPr>
      </w:pPr>
      <w:r>
        <w:rPr>
          <w:rFonts w:hint="eastAsia" w:cs="仿宋" w:asciiTheme="minorEastAsia" w:hAnsiTheme="minorEastAsia"/>
          <w:sz w:val="24"/>
          <w:szCs w:val="24"/>
          <w:lang w:val="zh-CN"/>
        </w:rPr>
        <w:t>统一配置管理(</w:t>
      </w:r>
      <w:r>
        <w:rPr>
          <w:rFonts w:cs="仿宋" w:asciiTheme="minorEastAsia" w:hAnsiTheme="minorEastAsia"/>
          <w:sz w:val="24"/>
          <w:szCs w:val="24"/>
          <w:lang w:val="zh-CN"/>
        </w:rPr>
        <w:t>spring cloud config</w:t>
      </w:r>
      <w:r>
        <w:rPr>
          <w:rFonts w:hint="eastAsia" w:cs="仿宋" w:asciiTheme="minorEastAsia" w:hAnsiTheme="minorEastAsia"/>
          <w:sz w:val="24"/>
          <w:szCs w:val="24"/>
          <w:lang w:val="zh-CN"/>
        </w:rPr>
        <w:t>、nacos</w:t>
      </w:r>
      <w:r>
        <w:rPr>
          <w:rFonts w:cs="仿宋" w:asciiTheme="minorEastAsia" w:hAnsiTheme="minorEastAsia"/>
          <w:sz w:val="24"/>
          <w:szCs w:val="24"/>
          <w:lang w:val="zh-CN"/>
        </w:rPr>
        <w:t>)</w:t>
      </w:r>
    </w:p>
    <w:p w14:paraId="4550EEC0">
      <w:pPr>
        <w:pStyle w:val="43"/>
        <w:numPr>
          <w:ilvl w:val="0"/>
          <w:numId w:val="47"/>
        </w:numPr>
        <w:spacing w:line="360" w:lineRule="auto"/>
        <w:ind w:firstLineChars="0"/>
        <w:rPr>
          <w:rFonts w:hint="eastAsia" w:cs="仿宋" w:asciiTheme="minorEastAsia" w:hAnsiTheme="minorEastAsia"/>
          <w:sz w:val="24"/>
          <w:szCs w:val="24"/>
          <w:lang w:val="zh-CN"/>
        </w:rPr>
      </w:pPr>
      <w:r>
        <w:rPr>
          <w:rFonts w:hint="eastAsia" w:cs="仿宋" w:asciiTheme="minorEastAsia" w:hAnsiTheme="minorEastAsia"/>
          <w:sz w:val="24"/>
          <w:szCs w:val="24"/>
          <w:lang w:val="zh-CN"/>
        </w:rPr>
        <w:t>统一网关路由(</w:t>
      </w:r>
      <w:r>
        <w:rPr>
          <w:rFonts w:cs="仿宋" w:asciiTheme="minorEastAsia" w:hAnsiTheme="minorEastAsia"/>
          <w:sz w:val="24"/>
          <w:szCs w:val="24"/>
          <w:lang w:val="zh-CN"/>
        </w:rPr>
        <w:t>gateway</w:t>
      </w:r>
      <w:r>
        <w:rPr>
          <w:rFonts w:hint="eastAsia" w:cs="仿宋" w:asciiTheme="minorEastAsia" w:hAnsiTheme="minorEastAsia"/>
          <w:sz w:val="24"/>
          <w:szCs w:val="24"/>
          <w:lang w:val="zh-CN"/>
        </w:rPr>
        <w:t>、zuul</w:t>
      </w:r>
      <w:r>
        <w:rPr>
          <w:rFonts w:cs="仿宋" w:asciiTheme="minorEastAsia" w:hAnsiTheme="minorEastAsia"/>
          <w:sz w:val="24"/>
          <w:szCs w:val="24"/>
          <w:lang w:val="zh-CN"/>
        </w:rPr>
        <w:t>)</w:t>
      </w:r>
    </w:p>
    <w:p w14:paraId="0190F1C7">
      <w:pPr>
        <w:pStyle w:val="43"/>
        <w:numPr>
          <w:ilvl w:val="0"/>
          <w:numId w:val="47"/>
        </w:numPr>
        <w:spacing w:line="360" w:lineRule="auto"/>
        <w:ind w:firstLineChars="0"/>
        <w:rPr>
          <w:rFonts w:hint="eastAsia" w:cs="仿宋" w:asciiTheme="minorEastAsia" w:hAnsiTheme="minorEastAsia"/>
          <w:sz w:val="24"/>
          <w:szCs w:val="24"/>
          <w:lang w:val="zh-CN"/>
        </w:rPr>
      </w:pPr>
      <w:r>
        <w:rPr>
          <w:rFonts w:hint="eastAsia" w:cs="仿宋" w:asciiTheme="minorEastAsia" w:hAnsiTheme="minorEastAsia"/>
          <w:sz w:val="24"/>
          <w:szCs w:val="24"/>
          <w:lang w:val="zh-CN"/>
        </w:rPr>
        <w:t>流量控制、降级、保护(</w:t>
      </w:r>
      <w:r>
        <w:rPr>
          <w:rFonts w:cs="仿宋" w:asciiTheme="minorEastAsia" w:hAnsiTheme="minorEastAsia"/>
          <w:sz w:val="24"/>
          <w:szCs w:val="24"/>
          <w:lang w:val="zh-CN"/>
        </w:rPr>
        <w:t>hystix</w:t>
      </w:r>
      <w:r>
        <w:rPr>
          <w:rFonts w:hint="eastAsia" w:cs="仿宋" w:asciiTheme="minorEastAsia" w:hAnsiTheme="minorEastAsia"/>
          <w:sz w:val="24"/>
          <w:szCs w:val="24"/>
          <w:lang w:val="zh-CN"/>
        </w:rPr>
        <w:t>、sen</w:t>
      </w:r>
      <w:r>
        <w:rPr>
          <w:rFonts w:cs="仿宋" w:asciiTheme="minorEastAsia" w:hAnsiTheme="minorEastAsia"/>
          <w:sz w:val="24"/>
          <w:szCs w:val="24"/>
          <w:lang w:val="zh-CN"/>
        </w:rPr>
        <w:t>tinel)</w:t>
      </w:r>
    </w:p>
    <w:p w14:paraId="449A2673">
      <w:pPr>
        <w:pStyle w:val="4"/>
        <w:numPr>
          <w:ilvl w:val="0"/>
          <w:numId w:val="43"/>
        </w:numPr>
        <w:spacing w:line="360" w:lineRule="auto"/>
        <w:rPr>
          <w:rFonts w:hint="eastAsia" w:asciiTheme="minorEastAsia" w:hAnsiTheme="minorEastAsia"/>
          <w:sz w:val="28"/>
          <w:szCs w:val="28"/>
        </w:rPr>
      </w:pPr>
      <w:r>
        <w:rPr>
          <w:rFonts w:hint="eastAsia" w:asciiTheme="minorEastAsia" w:hAnsiTheme="minorEastAsia"/>
          <w:sz w:val="28"/>
          <w:szCs w:val="28"/>
        </w:rPr>
        <w:t>应用流程</w:t>
      </w:r>
    </w:p>
    <w:p w14:paraId="362FEB83">
      <w:pPr>
        <w:pStyle w:val="43"/>
        <w:widowControl/>
        <w:numPr>
          <w:ilvl w:val="0"/>
          <w:numId w:val="48"/>
        </w:numPr>
        <w:spacing w:line="360" w:lineRule="auto"/>
        <w:ind w:firstLineChars="0"/>
        <w:rPr>
          <w:rFonts w:hint="eastAsia" w:cs="Arial" w:asciiTheme="minorEastAsia" w:hAnsiTheme="minorEastAsia"/>
          <w:b/>
          <w:bCs/>
          <w:sz w:val="24"/>
          <w:szCs w:val="24"/>
        </w:rPr>
      </w:pPr>
      <w:r>
        <w:rPr>
          <w:rFonts w:hint="eastAsia" w:cs="Arial" w:asciiTheme="minorEastAsia" w:hAnsiTheme="minorEastAsia"/>
          <w:b/>
          <w:bCs/>
          <w:sz w:val="24"/>
          <w:szCs w:val="24"/>
        </w:rPr>
        <w:t>区域用药监控中心</w:t>
      </w:r>
    </w:p>
    <w:p w14:paraId="676ADD59">
      <w:pPr>
        <w:widowControl/>
        <w:spacing w:line="360" w:lineRule="auto"/>
        <w:ind w:firstLine="707" w:firstLineChars="337"/>
        <w:rPr>
          <w:rFonts w:hint="eastAsia" w:cs="Arial" w:asciiTheme="minorEastAsia" w:hAnsiTheme="minorEastAsia"/>
          <w:b/>
          <w:bCs/>
          <w:sz w:val="24"/>
          <w:szCs w:val="24"/>
        </w:rPr>
      </w:pPr>
      <w:r>
        <w:rPr>
          <w:rFonts w:asciiTheme="minorEastAsia" w:hAnsiTheme="minorEastAsia"/>
        </w:rPr>
        <w:drawing>
          <wp:inline distT="0" distB="0" distL="0" distR="0">
            <wp:extent cx="4590415" cy="2555240"/>
            <wp:effectExtent l="0" t="0" r="635" b="165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3"/>
                    <a:stretch>
                      <a:fillRect/>
                    </a:stretch>
                  </pic:blipFill>
                  <pic:spPr>
                    <a:xfrm>
                      <a:off x="0" y="0"/>
                      <a:ext cx="4590415" cy="2555240"/>
                    </a:xfrm>
                    <a:prstGeom prst="rect">
                      <a:avLst/>
                    </a:prstGeom>
                  </pic:spPr>
                </pic:pic>
              </a:graphicData>
            </a:graphic>
          </wp:inline>
        </w:drawing>
      </w:r>
    </w:p>
    <w:p w14:paraId="09BA9A98">
      <w:pPr>
        <w:pStyle w:val="43"/>
        <w:numPr>
          <w:ilvl w:val="0"/>
          <w:numId w:val="48"/>
        </w:numPr>
        <w:spacing w:line="360" w:lineRule="auto"/>
        <w:ind w:firstLineChars="0"/>
        <w:rPr>
          <w:rFonts w:hint="eastAsia" w:cs="Arial" w:asciiTheme="minorEastAsia" w:hAnsiTheme="minorEastAsia"/>
          <w:b/>
          <w:bCs/>
          <w:sz w:val="24"/>
          <w:szCs w:val="24"/>
        </w:rPr>
      </w:pPr>
      <w:r>
        <w:rPr>
          <w:rFonts w:hint="eastAsia" w:cs="Arial" w:asciiTheme="minorEastAsia" w:hAnsiTheme="minorEastAsia"/>
          <w:b/>
          <w:bCs/>
          <w:sz w:val="24"/>
          <w:szCs w:val="24"/>
        </w:rPr>
        <w:t>区域共享患者档案</w:t>
      </w:r>
    </w:p>
    <w:p w14:paraId="32414D9F">
      <w:pPr>
        <w:widowControl/>
        <w:spacing w:line="360" w:lineRule="auto"/>
        <w:ind w:firstLine="991" w:firstLineChars="472"/>
        <w:rPr>
          <w:rFonts w:hint="eastAsia" w:cs="Arial" w:asciiTheme="minorEastAsia" w:hAnsiTheme="minorEastAsia"/>
          <w:b/>
          <w:bCs/>
          <w:sz w:val="24"/>
          <w:szCs w:val="24"/>
        </w:rPr>
      </w:pPr>
      <w:r>
        <w:rPr>
          <w:rFonts w:asciiTheme="minorEastAsia" w:hAnsiTheme="minorEastAsia"/>
        </w:rPr>
        <w:drawing>
          <wp:inline distT="0" distB="0" distL="0" distR="0">
            <wp:extent cx="4013200" cy="2294890"/>
            <wp:effectExtent l="0" t="0" r="635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4"/>
                    <a:stretch>
                      <a:fillRect/>
                    </a:stretch>
                  </pic:blipFill>
                  <pic:spPr>
                    <a:xfrm>
                      <a:off x="0" y="0"/>
                      <a:ext cx="4030427" cy="2305179"/>
                    </a:xfrm>
                    <a:prstGeom prst="rect">
                      <a:avLst/>
                    </a:prstGeom>
                  </pic:spPr>
                </pic:pic>
              </a:graphicData>
            </a:graphic>
          </wp:inline>
        </w:drawing>
      </w:r>
    </w:p>
    <w:p w14:paraId="2634F391">
      <w:pPr>
        <w:pStyle w:val="43"/>
        <w:numPr>
          <w:ilvl w:val="0"/>
          <w:numId w:val="48"/>
        </w:numPr>
        <w:spacing w:line="360" w:lineRule="auto"/>
        <w:ind w:firstLineChars="0"/>
        <w:rPr>
          <w:rFonts w:hint="eastAsia" w:cs="Arial" w:asciiTheme="minorEastAsia" w:hAnsiTheme="minorEastAsia"/>
          <w:b/>
          <w:bCs/>
          <w:sz w:val="24"/>
          <w:szCs w:val="24"/>
        </w:rPr>
      </w:pPr>
      <w:r>
        <w:rPr>
          <w:rFonts w:hint="eastAsia" w:cs="Arial" w:asciiTheme="minorEastAsia" w:hAnsiTheme="minorEastAsia"/>
          <w:b/>
          <w:bCs/>
          <w:sz w:val="24"/>
          <w:szCs w:val="24"/>
        </w:rPr>
        <w:t>区域合理用药审查中心</w:t>
      </w:r>
    </w:p>
    <w:p w14:paraId="4EFC959E">
      <w:pPr>
        <w:widowControl/>
        <w:spacing w:line="360" w:lineRule="auto"/>
        <w:ind w:left="1128" w:leftChars="537" w:firstLine="424" w:firstLineChars="202"/>
        <w:rPr>
          <w:rFonts w:hint="eastAsia" w:cs="Arial" w:asciiTheme="minorEastAsia" w:hAnsiTheme="minorEastAsia"/>
          <w:b/>
          <w:bCs/>
          <w:sz w:val="24"/>
          <w:szCs w:val="24"/>
        </w:rPr>
      </w:pPr>
      <w:r>
        <w:rPr>
          <w:rFonts w:hint="eastAsia" w:asciiTheme="minorEastAsia" w:hAnsiTheme="minorEastAsia"/>
        </w:rPr>
        <w:drawing>
          <wp:inline distT="0" distB="0" distL="0" distR="0">
            <wp:extent cx="3493135" cy="2431415"/>
            <wp:effectExtent l="0" t="0" r="0" b="6985"/>
            <wp:docPr id="20079418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941811" name="图片 1"/>
                    <pic:cNvPicPr>
                      <a:picLocks noChangeAspect="1" noChangeArrowheads="1"/>
                    </pic:cNvPicPr>
                  </pic:nvPicPr>
                  <pic:blipFill>
                    <a:blip r:embed="rId15">
                      <a:extLst>
                        <a:ext uri="{28A0092B-C50C-407E-A947-70E740481C1C}">
                          <a14:useLocalDpi xmlns:a14="http://schemas.microsoft.com/office/drawing/2010/main" val="0"/>
                        </a:ext>
                      </a:extLst>
                    </a:blip>
                    <a:srcRect t="5122" b="7775"/>
                    <a:stretch>
                      <a:fillRect/>
                    </a:stretch>
                  </pic:blipFill>
                  <pic:spPr>
                    <a:xfrm>
                      <a:off x="0" y="0"/>
                      <a:ext cx="3514303" cy="2446379"/>
                    </a:xfrm>
                    <a:prstGeom prst="rect">
                      <a:avLst/>
                    </a:prstGeom>
                    <a:noFill/>
                    <a:ln>
                      <a:noFill/>
                    </a:ln>
                  </pic:spPr>
                </pic:pic>
              </a:graphicData>
            </a:graphic>
          </wp:inline>
        </w:drawing>
      </w:r>
    </w:p>
    <w:p w14:paraId="07A88073">
      <w:pPr>
        <w:pStyle w:val="43"/>
        <w:numPr>
          <w:ilvl w:val="0"/>
          <w:numId w:val="48"/>
        </w:numPr>
        <w:spacing w:line="360" w:lineRule="auto"/>
        <w:ind w:firstLineChars="0"/>
        <w:rPr>
          <w:rFonts w:hint="eastAsia" w:cs="Arial" w:asciiTheme="minorEastAsia" w:hAnsiTheme="minorEastAsia"/>
          <w:b/>
          <w:bCs/>
          <w:sz w:val="24"/>
          <w:szCs w:val="24"/>
        </w:rPr>
      </w:pPr>
      <w:r>
        <w:rPr>
          <w:rFonts w:hint="eastAsia" w:cs="Arial" w:asciiTheme="minorEastAsia" w:hAnsiTheme="minorEastAsia"/>
          <w:b/>
          <w:bCs/>
          <w:sz w:val="24"/>
          <w:szCs w:val="24"/>
        </w:rPr>
        <w:t>区域审方中心</w:t>
      </w:r>
    </w:p>
    <w:p w14:paraId="685C4419">
      <w:pPr>
        <w:spacing w:line="360" w:lineRule="auto"/>
        <w:ind w:leftChars="-202" w:hanging="424" w:hangingChars="202"/>
        <w:rPr>
          <w:rFonts w:hint="eastAsia" w:cs="Arial" w:asciiTheme="minorEastAsia" w:hAnsiTheme="minorEastAsia"/>
          <w:b/>
          <w:bCs/>
          <w:sz w:val="24"/>
          <w:szCs w:val="24"/>
        </w:rPr>
      </w:pPr>
      <w:r>
        <w:rPr>
          <w:rFonts w:asciiTheme="minorEastAsia" w:hAnsiTheme="minorEastAsia"/>
        </w:rPr>
        <w:drawing>
          <wp:inline distT="0" distB="0" distL="0" distR="0">
            <wp:extent cx="5697855" cy="6583680"/>
            <wp:effectExtent l="0" t="0" r="0" b="7620"/>
            <wp:docPr id="7" name="图片 7"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示&#10;&#10;描述已自动生成"/>
                    <pic:cNvPicPr>
                      <a:picLocks noChangeAspect="1"/>
                    </pic:cNvPicPr>
                  </pic:nvPicPr>
                  <pic:blipFill>
                    <a:blip r:embed="rId16"/>
                    <a:stretch>
                      <a:fillRect/>
                    </a:stretch>
                  </pic:blipFill>
                  <pic:spPr>
                    <a:xfrm>
                      <a:off x="0" y="0"/>
                      <a:ext cx="5716206" cy="6604725"/>
                    </a:xfrm>
                    <a:prstGeom prst="rect">
                      <a:avLst/>
                    </a:prstGeom>
                  </pic:spPr>
                </pic:pic>
              </a:graphicData>
            </a:graphic>
          </wp:inline>
        </w:drawing>
      </w:r>
    </w:p>
    <w:p w14:paraId="612777D9">
      <w:pPr>
        <w:widowControl/>
        <w:jc w:val="left"/>
        <w:rPr>
          <w:rFonts w:hint="eastAsia" w:cs="Arial" w:asciiTheme="minorEastAsia" w:hAnsiTheme="minorEastAsia"/>
          <w:b/>
          <w:bCs/>
          <w:sz w:val="24"/>
          <w:szCs w:val="24"/>
        </w:rPr>
      </w:pPr>
      <w:r>
        <w:rPr>
          <w:rFonts w:cs="Arial" w:asciiTheme="minorEastAsia" w:hAnsiTheme="minorEastAsia"/>
          <w:b/>
          <w:bCs/>
          <w:sz w:val="24"/>
          <w:szCs w:val="24"/>
        </w:rPr>
        <w:br w:type="page"/>
      </w:r>
    </w:p>
    <w:p w14:paraId="180393CA">
      <w:pPr>
        <w:pStyle w:val="43"/>
        <w:numPr>
          <w:ilvl w:val="0"/>
          <w:numId w:val="48"/>
        </w:numPr>
        <w:spacing w:line="360" w:lineRule="auto"/>
        <w:ind w:firstLineChars="0"/>
        <w:rPr>
          <w:rFonts w:hint="eastAsia" w:cs="Arial" w:asciiTheme="minorEastAsia" w:hAnsiTheme="minorEastAsia"/>
          <w:b/>
          <w:bCs/>
          <w:sz w:val="24"/>
          <w:szCs w:val="24"/>
        </w:rPr>
      </w:pPr>
      <w:r>
        <w:rPr>
          <w:rFonts w:hint="eastAsia" w:cs="Arial" w:asciiTheme="minorEastAsia" w:hAnsiTheme="minorEastAsia"/>
          <w:b/>
          <w:bCs/>
          <w:sz w:val="24"/>
          <w:szCs w:val="24"/>
        </w:rPr>
        <w:t>区域点评质控中心</w:t>
      </w:r>
    </w:p>
    <w:p w14:paraId="397CD0B7">
      <w:pPr>
        <w:spacing w:line="360" w:lineRule="auto"/>
        <w:ind w:left="705" w:leftChars="269" w:hanging="140" w:hangingChars="67"/>
        <w:jc w:val="center"/>
        <w:rPr>
          <w:rFonts w:asciiTheme="minorEastAsia" w:hAnsiTheme="minorEastAsia"/>
        </w:rPr>
      </w:pPr>
      <w:r>
        <w:rPr>
          <w:rFonts w:asciiTheme="minorEastAsia" w:hAnsiTheme="minorEastAsia"/>
        </w:rPr>
        <w:drawing>
          <wp:inline distT="0" distB="0" distL="0" distR="0">
            <wp:extent cx="5784215" cy="6306820"/>
            <wp:effectExtent l="0" t="0" r="6985" b="1778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7"/>
                    <a:stretch>
                      <a:fillRect/>
                    </a:stretch>
                  </pic:blipFill>
                  <pic:spPr>
                    <a:xfrm>
                      <a:off x="0" y="0"/>
                      <a:ext cx="5784215" cy="6306820"/>
                    </a:xfrm>
                    <a:prstGeom prst="rect">
                      <a:avLst/>
                    </a:prstGeom>
                  </pic:spPr>
                </pic:pic>
              </a:graphicData>
            </a:graphic>
          </wp:inline>
        </w:drawing>
      </w:r>
    </w:p>
    <w:p w14:paraId="14D86C69">
      <w:pPr>
        <w:rPr>
          <w:rFonts w:hint="eastAsia" w:asciiTheme="minorEastAsia" w:hAnsiTheme="minorEastAsia"/>
        </w:rPr>
      </w:pPr>
      <w:r>
        <w:rPr>
          <w:rFonts w:asciiTheme="minorEastAsia" w:hAnsiTheme="minorEastAsia"/>
        </w:rPr>
        <w:br w:type="page"/>
      </w:r>
    </w:p>
    <w:p w14:paraId="21A43F8A">
      <w:pPr>
        <w:pStyle w:val="43"/>
        <w:numPr>
          <w:ilvl w:val="0"/>
          <w:numId w:val="48"/>
        </w:numPr>
        <w:spacing w:line="360" w:lineRule="auto"/>
        <w:ind w:firstLineChars="0"/>
        <w:rPr>
          <w:rFonts w:hint="eastAsia" w:cs="Arial" w:asciiTheme="minorEastAsia" w:hAnsiTheme="minorEastAsia"/>
          <w:b/>
          <w:bCs/>
          <w:sz w:val="24"/>
          <w:szCs w:val="24"/>
        </w:rPr>
      </w:pPr>
      <w:r>
        <w:rPr>
          <w:rFonts w:hint="eastAsia" w:cs="Arial" w:asciiTheme="minorEastAsia" w:hAnsiTheme="minorEastAsia"/>
          <w:b/>
          <w:bCs/>
          <w:sz w:val="24"/>
          <w:szCs w:val="24"/>
        </w:rPr>
        <w:t>区域用药数据分析平台</w:t>
      </w:r>
      <w:r>
        <w:rPr>
          <w:rFonts w:cs="Arial" w:asciiTheme="minorEastAsia" w:hAnsiTheme="minorEastAsia"/>
          <w:b/>
          <w:bCs/>
          <w:sz w:val="24"/>
          <w:szCs w:val="24"/>
        </w:rPr>
        <w:t xml:space="preserve"> </w:t>
      </w:r>
    </w:p>
    <w:p w14:paraId="7939A8FA">
      <w:pPr>
        <w:spacing w:line="360" w:lineRule="auto"/>
        <w:ind w:firstLine="707" w:firstLineChars="337"/>
        <w:rPr>
          <w:rFonts w:hint="eastAsia" w:cs="Arial" w:asciiTheme="minorEastAsia" w:hAnsiTheme="minorEastAsia"/>
          <w:b/>
          <w:bCs/>
          <w:sz w:val="24"/>
          <w:szCs w:val="24"/>
        </w:rPr>
      </w:pPr>
      <w:r>
        <w:rPr>
          <w:rFonts w:asciiTheme="minorEastAsia" w:hAnsiTheme="minorEastAsia"/>
        </w:rPr>
        <w:drawing>
          <wp:inline distT="0" distB="0" distL="0" distR="0">
            <wp:extent cx="5251450" cy="3660140"/>
            <wp:effectExtent l="0" t="0" r="6350" b="1651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8"/>
                    <a:srcRect t="10689" b="9540"/>
                    <a:stretch>
                      <a:fillRect/>
                    </a:stretch>
                  </pic:blipFill>
                  <pic:spPr>
                    <a:xfrm>
                      <a:off x="0" y="0"/>
                      <a:ext cx="5251450" cy="3660140"/>
                    </a:xfrm>
                    <a:prstGeom prst="rect">
                      <a:avLst/>
                    </a:prstGeom>
                    <a:ln>
                      <a:noFill/>
                    </a:ln>
                  </pic:spPr>
                </pic:pic>
              </a:graphicData>
            </a:graphic>
          </wp:inline>
        </w:drawing>
      </w:r>
    </w:p>
    <w:p w14:paraId="757A3625">
      <w:pPr>
        <w:spacing w:line="360" w:lineRule="auto"/>
        <w:ind w:firstLine="1301" w:firstLineChars="540"/>
        <w:rPr>
          <w:rFonts w:hint="eastAsia" w:cs="Arial" w:asciiTheme="minorEastAsia" w:hAnsiTheme="minorEastAsia"/>
          <w:b/>
          <w:bCs/>
          <w:sz w:val="24"/>
          <w:szCs w:val="24"/>
        </w:rPr>
      </w:pPr>
    </w:p>
    <w:p w14:paraId="0B132121">
      <w:pPr>
        <w:rPr>
          <w:rFonts w:hint="eastAsia" w:cs="Arial" w:asciiTheme="minorEastAsia" w:hAnsiTheme="minorEastAsia"/>
          <w:b/>
          <w:bCs/>
          <w:sz w:val="24"/>
          <w:szCs w:val="24"/>
        </w:rPr>
      </w:pPr>
      <w:r>
        <w:rPr>
          <w:rFonts w:hint="eastAsia" w:cs="Arial" w:asciiTheme="minorEastAsia" w:hAnsiTheme="minorEastAsia"/>
          <w:b/>
          <w:bCs/>
          <w:sz w:val="24"/>
          <w:szCs w:val="24"/>
        </w:rPr>
        <w:br w:type="page"/>
      </w:r>
    </w:p>
    <w:p w14:paraId="7A1F9100">
      <w:pPr>
        <w:pStyle w:val="43"/>
        <w:numPr>
          <w:ilvl w:val="0"/>
          <w:numId w:val="48"/>
        </w:numPr>
        <w:spacing w:line="360" w:lineRule="auto"/>
        <w:ind w:firstLineChars="0"/>
        <w:rPr>
          <w:rFonts w:hint="eastAsia" w:cs="Arial" w:asciiTheme="minorEastAsia" w:hAnsiTheme="minorEastAsia"/>
          <w:b/>
          <w:bCs/>
          <w:sz w:val="24"/>
          <w:szCs w:val="24"/>
        </w:rPr>
      </w:pPr>
      <w:r>
        <w:rPr>
          <w:rFonts w:hint="eastAsia" w:cs="Arial" w:asciiTheme="minorEastAsia" w:hAnsiTheme="minorEastAsia"/>
          <w:b/>
          <w:bCs/>
          <w:sz w:val="24"/>
          <w:szCs w:val="24"/>
        </w:rPr>
        <w:t>区域共享药品知识库</w:t>
      </w:r>
    </w:p>
    <w:p w14:paraId="368B2ACB">
      <w:pPr>
        <w:widowControl/>
        <w:spacing w:line="360" w:lineRule="auto"/>
        <w:ind w:firstLine="1274" w:firstLineChars="607"/>
        <w:rPr>
          <w:rFonts w:hint="eastAsia" w:cs="Arial" w:asciiTheme="minorEastAsia" w:hAnsiTheme="minorEastAsia"/>
          <w:b/>
          <w:bCs/>
          <w:sz w:val="24"/>
          <w:szCs w:val="24"/>
        </w:rPr>
      </w:pPr>
      <w:r>
        <w:rPr>
          <w:rFonts w:hint="eastAsia" w:asciiTheme="minorEastAsia" w:hAnsiTheme="minorEastAsia"/>
        </w:rPr>
        <w:object>
          <v:shape id="_x0000_i1028" o:spt="75" type="#_x0000_t75" style="height:569.4pt;width:347.25pt;" o:ole="t" filled="f" o:preferrelative="t" stroked="f" coordsize="21600,21600">
            <v:path/>
            <v:fill on="f" focussize="0,0"/>
            <v:stroke on="f"/>
            <v:imagedata r:id="rId20" cropbottom="9814f" o:title=""/>
            <o:lock v:ext="edit" aspectratio="t"/>
            <w10:wrap type="none"/>
            <w10:anchorlock/>
          </v:shape>
          <o:OLEObject Type="Embed" ProgID="Visio.Drawing.11" ShapeID="_x0000_i1028" DrawAspect="Content" ObjectID="_1468075728" r:id="rId19">
            <o:LockedField>false</o:LockedField>
          </o:OLEObject>
        </w:object>
      </w:r>
    </w:p>
    <w:p w14:paraId="343ACADD">
      <w:pPr>
        <w:pStyle w:val="4"/>
        <w:numPr>
          <w:ilvl w:val="0"/>
          <w:numId w:val="43"/>
        </w:numPr>
        <w:spacing w:line="360" w:lineRule="auto"/>
        <w:rPr>
          <w:rFonts w:hint="eastAsia" w:asciiTheme="minorEastAsia" w:hAnsiTheme="minorEastAsia"/>
          <w:sz w:val="28"/>
          <w:szCs w:val="28"/>
        </w:rPr>
      </w:pPr>
      <w:r>
        <w:rPr>
          <w:rFonts w:hint="eastAsia" w:asciiTheme="minorEastAsia" w:hAnsiTheme="minorEastAsia"/>
          <w:sz w:val="28"/>
          <w:szCs w:val="28"/>
        </w:rPr>
        <w:t>系统内外部关联关系</w:t>
      </w:r>
    </w:p>
    <w:p w14:paraId="25CAAA96">
      <w:pPr>
        <w:pStyle w:val="43"/>
        <w:numPr>
          <w:ilvl w:val="0"/>
          <w:numId w:val="49"/>
        </w:numPr>
        <w:spacing w:line="360" w:lineRule="auto"/>
        <w:ind w:firstLineChars="0"/>
        <w:rPr>
          <w:rFonts w:hint="eastAsia" w:asciiTheme="minorEastAsia" w:hAnsiTheme="minorEastAsia"/>
          <w:b/>
          <w:bCs/>
          <w:sz w:val="24"/>
          <w:szCs w:val="24"/>
        </w:rPr>
      </w:pPr>
      <w:r>
        <w:rPr>
          <w:rFonts w:hint="eastAsia" w:asciiTheme="minorEastAsia" w:hAnsiTheme="minorEastAsia"/>
          <w:b/>
          <w:bCs/>
          <w:sz w:val="24"/>
          <w:szCs w:val="24"/>
        </w:rPr>
        <w:t>外部接口</w:t>
      </w:r>
    </w:p>
    <w:p w14:paraId="5F5B57D1">
      <w:pPr>
        <w:pStyle w:val="43"/>
        <w:widowControl/>
        <w:numPr>
          <w:ilvl w:val="2"/>
          <w:numId w:val="50"/>
        </w:numPr>
        <w:tabs>
          <w:tab w:val="left" w:pos="709"/>
        </w:tabs>
        <w:spacing w:line="360" w:lineRule="auto"/>
        <w:ind w:hanging="639" w:firstLineChars="0"/>
        <w:rPr>
          <w:rFonts w:hint="eastAsia" w:asciiTheme="minorEastAsia" w:hAnsiTheme="minorEastAsia"/>
          <w:b/>
          <w:bCs/>
          <w:sz w:val="24"/>
          <w:szCs w:val="24"/>
        </w:rPr>
      </w:pPr>
      <w:r>
        <w:rPr>
          <w:rFonts w:hint="eastAsia" w:asciiTheme="minorEastAsia" w:hAnsiTheme="minorEastAsia"/>
          <w:b/>
          <w:bCs/>
          <w:sz w:val="24"/>
          <w:szCs w:val="24"/>
        </w:rPr>
        <w:t>合理用药嵌套接口</w:t>
      </w:r>
    </w:p>
    <w:p w14:paraId="6AFEF523">
      <w:pPr>
        <w:widowControl/>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系统通过嵌套接口函数从HIS或其它系统获取相关输入信息，并将这些信息组织处理为系统核心服务能识别的数据结构，通过Socket套接字传递给系统核心服务完成监测和查询运算，然后对系统核心服务返回的监测和查询结果进行相应的解析处理，并返回、显示给调用接口和用户。</w:t>
      </w:r>
    </w:p>
    <w:p w14:paraId="520F25D7">
      <w:pPr>
        <w:widowControl/>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系统提供两种嵌套方式：</w:t>
      </w:r>
    </w:p>
    <w:p w14:paraId="2A2B9920">
      <w:pPr>
        <w:widowControl/>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第一种方式是通过JavaScript接收用户数据并组织结果，JavaScript通过AJAX网页开发技术将用户数据传输到Web Service，由Web Service通过socket访问系统核心服务，这种方式适用于B/S模式的客户端。</w:t>
      </w:r>
    </w:p>
    <w:p w14:paraId="659E294E">
      <w:pPr>
        <w:widowControl/>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第二种方式是传统的C/S模式，通过DLL接收用户数据并组织结果，DLL直接与系统核心服务通信，这种方式适用于C/S模式的客户端。</w:t>
      </w:r>
    </w:p>
    <w:p w14:paraId="7FA37684">
      <w:pPr>
        <w:widowControl/>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多种调用方式，能满足传统的C/S结构应用，也能同时满足现在盛行的B/S应用，混合模式能很好地支持区域医疗，应对不同HIS厂商不同技术、环境、架构的要求。</w:t>
      </w:r>
    </w:p>
    <w:p w14:paraId="4A4FDC48">
      <w:pPr>
        <w:pStyle w:val="43"/>
        <w:widowControl/>
        <w:numPr>
          <w:ilvl w:val="2"/>
          <w:numId w:val="50"/>
        </w:numPr>
        <w:tabs>
          <w:tab w:val="left" w:pos="709"/>
        </w:tabs>
        <w:spacing w:line="360" w:lineRule="auto"/>
        <w:ind w:hanging="639" w:firstLineChars="0"/>
        <w:rPr>
          <w:rFonts w:hint="eastAsia" w:asciiTheme="minorEastAsia" w:hAnsiTheme="minorEastAsia"/>
          <w:b/>
          <w:bCs/>
          <w:sz w:val="24"/>
          <w:szCs w:val="24"/>
        </w:rPr>
      </w:pPr>
      <w:r>
        <w:rPr>
          <w:rFonts w:hint="eastAsia" w:asciiTheme="minorEastAsia" w:hAnsiTheme="minorEastAsia"/>
          <w:b/>
          <w:bCs/>
          <w:sz w:val="24"/>
          <w:szCs w:val="24"/>
        </w:rPr>
        <w:t>业务数据接口</w:t>
      </w:r>
    </w:p>
    <w:p w14:paraId="3EADDB4B">
      <w:pPr>
        <w:widowControl/>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采集程序设计可对视图、存储过程、WebService等多种数据接口进行数据采集工作。</w:t>
      </w:r>
    </w:p>
    <w:p w14:paraId="3F16E5E7">
      <w:pPr>
        <w:widowControl/>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系统通过医院提供的接口进行数据采集，采集模式可分为定时采集和实时采集，实时采集适用于实时性要求较高的卫生计生数据，如医疗机构的检验检测报告等。在项目实施过程中，数据实时采集可能会加重源有系统负担，导致系统异常。针对项目接口效率和医院数据应用情况，在制定项目采集规则的时对各系统数据接口情况进行侧重分析，针对部分数据采集实时采集的策略，其他数据以非实时采集策略为主，以平衡用户使用需求和系统承载能力。</w:t>
      </w:r>
    </w:p>
    <w:p w14:paraId="3D069659">
      <w:pPr>
        <w:pStyle w:val="43"/>
        <w:numPr>
          <w:ilvl w:val="0"/>
          <w:numId w:val="49"/>
        </w:numPr>
        <w:spacing w:line="360" w:lineRule="auto"/>
        <w:ind w:firstLineChars="0"/>
        <w:rPr>
          <w:rFonts w:hint="eastAsia" w:asciiTheme="minorEastAsia" w:hAnsiTheme="minorEastAsia"/>
          <w:b/>
          <w:bCs/>
          <w:sz w:val="24"/>
          <w:szCs w:val="24"/>
        </w:rPr>
      </w:pPr>
      <w:r>
        <w:rPr>
          <w:rFonts w:hint="eastAsia" w:asciiTheme="minorEastAsia" w:hAnsiTheme="minorEastAsia"/>
          <w:b/>
          <w:bCs/>
          <w:sz w:val="24"/>
          <w:szCs w:val="24"/>
        </w:rPr>
        <w:t>内部接口</w:t>
      </w:r>
    </w:p>
    <w:p w14:paraId="312423F6">
      <w:pPr>
        <w:widowControl/>
        <w:spacing w:line="360" w:lineRule="auto"/>
        <w:ind w:firstLine="480" w:firstLineChars="200"/>
        <w:rPr>
          <w:rFonts w:hint="eastAsia" w:asciiTheme="minorEastAsia" w:hAnsiTheme="minorEastAsia"/>
          <w:b/>
          <w:bCs/>
          <w:sz w:val="28"/>
          <w:szCs w:val="28"/>
        </w:rPr>
      </w:pPr>
      <w:r>
        <w:rPr>
          <w:rFonts w:hint="eastAsia" w:asciiTheme="minorEastAsia" w:hAnsiTheme="minorEastAsia"/>
          <w:sz w:val="24"/>
          <w:szCs w:val="24"/>
        </w:rPr>
        <w:t>内部接口方面，各模块之间采用函数调用、参数传递、返回值的方式进行信息传递。接口传递的信息将是以数据结构封装了的数据，以参数传递或者返回值的形式在各模块之间传递。</w:t>
      </w:r>
      <w:r>
        <w:rPr>
          <w:rFonts w:asciiTheme="minorEastAsia" w:hAnsiTheme="minorEastAsia"/>
          <w:sz w:val="28"/>
          <w:szCs w:val="28"/>
        </w:rPr>
        <w:br w:type="page"/>
      </w:r>
    </w:p>
    <w:p w14:paraId="47FB23DB">
      <w:pPr>
        <w:pStyle w:val="2"/>
        <w:spacing w:before="0" w:after="0" w:line="360" w:lineRule="auto"/>
        <w:jc w:val="center"/>
        <w:rPr>
          <w:rFonts w:hint="eastAsia" w:asciiTheme="minorEastAsia" w:hAnsiTheme="minorEastAsia"/>
          <w:kern w:val="28"/>
        </w:rPr>
      </w:pPr>
      <w:r>
        <w:rPr>
          <w:rFonts w:hint="eastAsia" w:asciiTheme="minorEastAsia" w:hAnsiTheme="minorEastAsia"/>
          <w:kern w:val="28"/>
        </w:rPr>
        <w:t>第四部分  建设效益</w:t>
      </w:r>
    </w:p>
    <w:p w14:paraId="74791186">
      <w:pPr>
        <w:pStyle w:val="3"/>
        <w:numPr>
          <w:ilvl w:val="0"/>
          <w:numId w:val="51"/>
        </w:numPr>
        <w:spacing w:line="360" w:lineRule="auto"/>
        <w:rPr>
          <w:rFonts w:hint="eastAsia" w:asciiTheme="minorEastAsia" w:hAnsiTheme="minorEastAsia" w:eastAsiaTheme="minorEastAsia"/>
        </w:rPr>
      </w:pPr>
      <w:bookmarkStart w:id="70" w:name="_Toc172378861"/>
      <w:bookmarkStart w:id="71" w:name="_Toc172561273"/>
      <w:bookmarkStart w:id="72" w:name="_Toc172211390"/>
      <w:bookmarkStart w:id="73" w:name="_Toc172818901"/>
      <w:r>
        <w:rPr>
          <w:rFonts w:hint="eastAsia" w:asciiTheme="minorEastAsia" w:hAnsiTheme="minorEastAsia" w:eastAsiaTheme="minorEastAsia"/>
        </w:rPr>
        <w:t>符合医药卫生体制改革发展方向</w:t>
      </w:r>
      <w:bookmarkEnd w:id="70"/>
      <w:bookmarkEnd w:id="71"/>
      <w:bookmarkEnd w:id="72"/>
      <w:bookmarkEnd w:id="73"/>
    </w:p>
    <w:p w14:paraId="331E7B71">
      <w:pPr>
        <w:spacing w:line="360" w:lineRule="auto"/>
        <w:ind w:firstLine="480" w:firstLineChars="200"/>
        <w:rPr>
          <w:rFonts w:hint="eastAsia" w:asciiTheme="minorEastAsia" w:hAnsiTheme="minorEastAsia"/>
          <w:b/>
          <w:sz w:val="24"/>
          <w:szCs w:val="24"/>
        </w:rPr>
      </w:pPr>
      <w:r>
        <w:rPr>
          <w:rFonts w:hint="eastAsia" w:cs="Arial" w:asciiTheme="minorEastAsia" w:hAnsiTheme="minorEastAsia"/>
          <w:sz w:val="24"/>
          <w:szCs w:val="24"/>
        </w:rPr>
        <w:t>建立区域合理用药管理平台，</w:t>
      </w:r>
      <w:r>
        <w:rPr>
          <w:rFonts w:hint="eastAsia" w:asciiTheme="minorEastAsia" w:hAnsiTheme="minorEastAsia"/>
          <w:sz w:val="24"/>
          <w:szCs w:val="24"/>
        </w:rPr>
        <w:t>积极响应习近平总书记关于“深化医药卫生体制改革，均衡布局优质医疗资源，改善基层基础设施条件，为人民健康提供可靠保障”的重要指示要求</w:t>
      </w:r>
      <w:r>
        <w:rPr>
          <w:rFonts w:asciiTheme="minorEastAsia" w:hAnsiTheme="minorEastAsia"/>
          <w:sz w:val="24"/>
          <w:szCs w:val="24"/>
        </w:rPr>
        <w:t>。</w:t>
      </w:r>
    </w:p>
    <w:p w14:paraId="56974408">
      <w:pPr>
        <w:spacing w:line="360" w:lineRule="auto"/>
        <w:ind w:firstLine="480" w:firstLineChars="200"/>
        <w:rPr>
          <w:rFonts w:hint="eastAsia" w:asciiTheme="minorEastAsia" w:hAnsiTheme="minorEastAsia"/>
          <w:b/>
          <w:sz w:val="24"/>
          <w:szCs w:val="24"/>
        </w:rPr>
      </w:pPr>
      <w:r>
        <w:rPr>
          <w:rFonts w:hint="eastAsia" w:cs="Arial" w:asciiTheme="minorEastAsia" w:hAnsiTheme="minorEastAsia"/>
          <w:sz w:val="24"/>
          <w:szCs w:val="24"/>
        </w:rPr>
        <w:t>建立区域合理用药管理平台，进一步落实了《中共中央国务院关于深化医药卫生体制改革的意见》中关于“大力推进医药卫生信息化建设，以推进公共卫生、医疗服务、医疗保障、药品管理以及财务监管信息化建设为着力点，整合资源，加强信息标准化和公共服务信息平台建设，逐步实现统一高效、互联互通”的要求。</w:t>
      </w:r>
    </w:p>
    <w:p w14:paraId="5F0CC7C3">
      <w:pPr>
        <w:spacing w:line="360" w:lineRule="auto"/>
        <w:ind w:firstLine="480" w:firstLineChars="200"/>
        <w:rPr>
          <w:rFonts w:hint="eastAsia" w:asciiTheme="minorEastAsia" w:hAnsiTheme="minorEastAsia"/>
          <w:b/>
          <w:sz w:val="24"/>
          <w:szCs w:val="24"/>
        </w:rPr>
      </w:pPr>
      <w:r>
        <w:rPr>
          <w:rFonts w:hint="eastAsia" w:cs="Arial" w:asciiTheme="minorEastAsia" w:hAnsiTheme="minorEastAsia"/>
          <w:sz w:val="24"/>
          <w:szCs w:val="24"/>
        </w:rPr>
        <w:t>建立区域合理用药管理平台，是对国家卫健委、国家医保局等六部委《关于加强医疗机构药事管理促进合理用药的意见》中“促进药学服务向基层下沉，探索建立医疗联合体内的药学服务标准或规范，构建统一供应药品的知识库、处方审核的规则库，实现医疗联合体内药学服务、药品信息的标准化”相关建议的进一步推动和落地。</w:t>
      </w:r>
    </w:p>
    <w:p w14:paraId="08587F1A">
      <w:pPr>
        <w:pStyle w:val="3"/>
        <w:numPr>
          <w:ilvl w:val="0"/>
          <w:numId w:val="51"/>
        </w:numPr>
        <w:spacing w:line="360" w:lineRule="auto"/>
        <w:rPr>
          <w:rFonts w:hint="eastAsia" w:asciiTheme="minorEastAsia" w:hAnsiTheme="minorEastAsia" w:eastAsiaTheme="minorEastAsia"/>
        </w:rPr>
      </w:pPr>
      <w:bookmarkStart w:id="74" w:name="_Toc172378862"/>
      <w:bookmarkStart w:id="75" w:name="_Toc172211391"/>
      <w:bookmarkStart w:id="76" w:name="_Toc172818902"/>
      <w:bookmarkStart w:id="77" w:name="_Toc172561274"/>
      <w:r>
        <w:rPr>
          <w:rFonts w:hint="eastAsia" w:asciiTheme="minorEastAsia" w:hAnsiTheme="minorEastAsia" w:eastAsiaTheme="minorEastAsia"/>
        </w:rPr>
        <w:t>优化医疗资源配置，提升基层医疗机构服务能力</w:t>
      </w:r>
      <w:bookmarkEnd w:id="74"/>
      <w:bookmarkEnd w:id="75"/>
      <w:bookmarkEnd w:id="76"/>
      <w:bookmarkEnd w:id="77"/>
    </w:p>
    <w:p w14:paraId="1073D6C9">
      <w:pPr>
        <w:pStyle w:val="4"/>
        <w:numPr>
          <w:ilvl w:val="0"/>
          <w:numId w:val="52"/>
        </w:numPr>
        <w:spacing w:line="360" w:lineRule="auto"/>
        <w:rPr>
          <w:rFonts w:hint="eastAsia" w:asciiTheme="minorEastAsia" w:hAnsiTheme="minorEastAsia"/>
          <w:sz w:val="28"/>
          <w:szCs w:val="28"/>
        </w:rPr>
      </w:pPr>
      <w:r>
        <w:rPr>
          <w:rFonts w:hint="eastAsia" w:asciiTheme="minorEastAsia" w:hAnsiTheme="minorEastAsia"/>
          <w:sz w:val="28"/>
          <w:szCs w:val="28"/>
        </w:rPr>
        <w:t>优化医疗资源配置</w:t>
      </w:r>
    </w:p>
    <w:p w14:paraId="4610B434">
      <w:pPr>
        <w:spacing w:line="360" w:lineRule="auto"/>
        <w:ind w:firstLine="480" w:firstLineChars="200"/>
        <w:rPr>
          <w:rFonts w:hint="eastAsia" w:cs="Arial" w:asciiTheme="minorEastAsia" w:hAnsiTheme="minorEastAsia"/>
          <w:sz w:val="24"/>
          <w:szCs w:val="24"/>
        </w:rPr>
      </w:pPr>
      <w:r>
        <w:rPr>
          <w:rFonts w:hint="eastAsia" w:cs="Arial" w:asciiTheme="minorEastAsia" w:hAnsiTheme="minorEastAsia"/>
          <w:sz w:val="24"/>
          <w:szCs w:val="24"/>
        </w:rPr>
        <w:t>建立区域合理用药管理平台，实施区域合理用药的集中化管理与控制策略，能够高效整合并充分利用高级别医疗机构中资深药师的专业知识与技能，以及先进的药学信息化软件系统等优质资源，从而为广大患者提供更加专业化、精准化的药学服务。在此过程中，资深药师将扮演重要角色，通过系统化的培训和实地指导，赋能基层医疗机构的药师队伍，显著提升其专业能力与服务水平，促进整个医疗体系中药学服务质量的均衡发展与全面提升，有力响应了国家关于提升医疗服务可及性与均衡性的战略部署。</w:t>
      </w:r>
    </w:p>
    <w:p w14:paraId="60A2E351">
      <w:pPr>
        <w:pStyle w:val="4"/>
        <w:numPr>
          <w:ilvl w:val="0"/>
          <w:numId w:val="52"/>
        </w:numPr>
        <w:spacing w:line="360" w:lineRule="auto"/>
        <w:rPr>
          <w:rFonts w:hint="eastAsia" w:asciiTheme="minorEastAsia" w:hAnsiTheme="minorEastAsia"/>
          <w:sz w:val="28"/>
          <w:szCs w:val="28"/>
        </w:rPr>
      </w:pPr>
      <w:r>
        <w:rPr>
          <w:rFonts w:asciiTheme="minorEastAsia" w:hAnsiTheme="minorEastAsia"/>
          <w:sz w:val="28"/>
          <w:szCs w:val="28"/>
        </w:rPr>
        <w:t>实现资源共享</w:t>
      </w:r>
    </w:p>
    <w:p w14:paraId="09DE0BBB">
      <w:pPr>
        <w:spacing w:line="360" w:lineRule="auto"/>
        <w:ind w:firstLine="480" w:firstLineChars="200"/>
        <w:rPr>
          <w:rFonts w:hint="eastAsia" w:cs="Arial" w:asciiTheme="minorEastAsia" w:hAnsiTheme="minorEastAsia"/>
          <w:sz w:val="24"/>
          <w:szCs w:val="24"/>
          <w:highlight w:val="yellow"/>
        </w:rPr>
      </w:pPr>
      <w:r>
        <w:rPr>
          <w:rFonts w:hint="eastAsia" w:cs="Arial" w:asciiTheme="minorEastAsia" w:hAnsiTheme="minorEastAsia"/>
          <w:sz w:val="24"/>
          <w:szCs w:val="24"/>
        </w:rPr>
        <w:t>建立区域合理用药管理平台，</w:t>
      </w:r>
      <w:r>
        <w:rPr>
          <w:rFonts w:cs="Arial" w:asciiTheme="minorEastAsia" w:hAnsiTheme="minorEastAsia"/>
          <w:sz w:val="24"/>
          <w:szCs w:val="24"/>
        </w:rPr>
        <w:t>可以促进医疗资源的共享与流通，</w:t>
      </w:r>
      <w:r>
        <w:rPr>
          <w:rFonts w:hint="eastAsia" w:cs="Arial" w:asciiTheme="minorEastAsia" w:hAnsiTheme="minorEastAsia"/>
          <w:sz w:val="24"/>
          <w:szCs w:val="24"/>
        </w:rPr>
        <w:t>搭建起高级别医疗机构与基层医疗机构之间无缝衔接的桥梁，实现医疗资源的深度融合与协同发展</w:t>
      </w:r>
      <w:r>
        <w:rPr>
          <w:rFonts w:cs="Arial" w:asciiTheme="minorEastAsia" w:hAnsiTheme="minorEastAsia"/>
          <w:sz w:val="24"/>
          <w:szCs w:val="24"/>
        </w:rPr>
        <w:t>。</w:t>
      </w:r>
      <w:r>
        <w:rPr>
          <w:rFonts w:hint="eastAsia" w:cs="Arial" w:asciiTheme="minorEastAsia" w:hAnsiTheme="minorEastAsia"/>
          <w:sz w:val="24"/>
          <w:szCs w:val="24"/>
        </w:rPr>
        <w:t>区域合理用药管理平台不仅促使优质医疗资源跨越地域界限，覆盖至更广阔的区域及惠及更多人群，还极大地促进了医疗机构间的紧密协作与深度交流。</w:t>
      </w:r>
    </w:p>
    <w:p w14:paraId="7CFE8C93">
      <w:pPr>
        <w:pStyle w:val="4"/>
        <w:numPr>
          <w:ilvl w:val="0"/>
          <w:numId w:val="52"/>
        </w:numPr>
        <w:spacing w:line="360" w:lineRule="auto"/>
        <w:rPr>
          <w:rFonts w:hint="eastAsia" w:asciiTheme="minorEastAsia" w:hAnsiTheme="minorEastAsia"/>
          <w:sz w:val="28"/>
          <w:szCs w:val="28"/>
        </w:rPr>
      </w:pPr>
      <w:r>
        <w:rPr>
          <w:rFonts w:asciiTheme="minorEastAsia" w:hAnsiTheme="minorEastAsia"/>
          <w:sz w:val="28"/>
          <w:szCs w:val="28"/>
        </w:rPr>
        <w:t>推动</w:t>
      </w:r>
      <w:r>
        <w:rPr>
          <w:rFonts w:hint="eastAsia" w:asciiTheme="minorEastAsia" w:hAnsiTheme="minorEastAsia"/>
          <w:sz w:val="28"/>
          <w:szCs w:val="28"/>
        </w:rPr>
        <w:t>药学</w:t>
      </w:r>
      <w:r>
        <w:rPr>
          <w:rFonts w:asciiTheme="minorEastAsia" w:hAnsiTheme="minorEastAsia"/>
          <w:sz w:val="28"/>
          <w:szCs w:val="28"/>
        </w:rPr>
        <w:t>服务转型</w:t>
      </w:r>
    </w:p>
    <w:p w14:paraId="2674BA6F">
      <w:pPr>
        <w:spacing w:line="360" w:lineRule="auto"/>
        <w:ind w:firstLine="480" w:firstLineChars="200"/>
        <w:rPr>
          <w:rFonts w:hint="eastAsia" w:cs="Arial" w:asciiTheme="minorEastAsia" w:hAnsiTheme="minorEastAsia"/>
          <w:sz w:val="24"/>
          <w:szCs w:val="24"/>
          <w:highlight w:val="yellow"/>
        </w:rPr>
      </w:pPr>
      <w:r>
        <w:rPr>
          <w:rFonts w:hint="eastAsia" w:cs="Arial" w:asciiTheme="minorEastAsia" w:hAnsiTheme="minorEastAsia"/>
          <w:sz w:val="24"/>
          <w:szCs w:val="24"/>
        </w:rPr>
        <w:t>建立区域合理用药管理平台，可</w:t>
      </w:r>
      <w:r>
        <w:rPr>
          <w:rFonts w:cs="Arial" w:asciiTheme="minorEastAsia" w:hAnsiTheme="minorEastAsia"/>
          <w:sz w:val="24"/>
          <w:szCs w:val="24"/>
        </w:rPr>
        <w:t>以促进基层医疗机构的药学服务转型。一方面，</w:t>
      </w:r>
      <w:r>
        <w:rPr>
          <w:rFonts w:hint="eastAsia" w:cs="Arial" w:asciiTheme="minorEastAsia" w:hAnsiTheme="minorEastAsia"/>
          <w:sz w:val="24"/>
          <w:szCs w:val="24"/>
        </w:rPr>
        <w:t>在高级别</w:t>
      </w:r>
      <w:r>
        <w:rPr>
          <w:rFonts w:cs="Arial" w:asciiTheme="minorEastAsia" w:hAnsiTheme="minorEastAsia"/>
          <w:sz w:val="24"/>
          <w:szCs w:val="24"/>
        </w:rPr>
        <w:t>医疗机构</w:t>
      </w:r>
      <w:r>
        <w:rPr>
          <w:rFonts w:hint="eastAsia" w:cs="Arial" w:asciiTheme="minorEastAsia" w:hAnsiTheme="minorEastAsia"/>
          <w:sz w:val="24"/>
          <w:szCs w:val="24"/>
        </w:rPr>
        <w:t>的</w:t>
      </w:r>
      <w:r>
        <w:rPr>
          <w:rFonts w:cs="Arial" w:asciiTheme="minorEastAsia" w:hAnsiTheme="minorEastAsia"/>
          <w:sz w:val="24"/>
          <w:szCs w:val="24"/>
        </w:rPr>
        <w:t>带领和指导下，基层医疗机构可以逐步实现由传统发药工作向药学服务工作的转型。</w:t>
      </w:r>
      <w:r>
        <w:rPr>
          <w:rFonts w:hint="eastAsia" w:cs="Arial" w:asciiTheme="minorEastAsia" w:hAnsiTheme="minorEastAsia"/>
          <w:sz w:val="24"/>
          <w:szCs w:val="24"/>
        </w:rPr>
        <w:t>另一方面，高级别</w:t>
      </w:r>
      <w:r>
        <w:rPr>
          <w:rFonts w:cs="Arial" w:asciiTheme="minorEastAsia" w:hAnsiTheme="minorEastAsia"/>
          <w:sz w:val="24"/>
          <w:szCs w:val="24"/>
        </w:rPr>
        <w:t>医疗机构可以帮助基层医疗机构探索</w:t>
      </w:r>
      <w:r>
        <w:rPr>
          <w:rFonts w:hint="eastAsia" w:cs="Arial" w:asciiTheme="minorEastAsia" w:hAnsiTheme="minorEastAsia"/>
          <w:sz w:val="24"/>
          <w:szCs w:val="24"/>
        </w:rPr>
        <w:t>多元化</w:t>
      </w:r>
      <w:r>
        <w:rPr>
          <w:rFonts w:cs="Arial" w:asciiTheme="minorEastAsia" w:hAnsiTheme="minorEastAsia"/>
          <w:sz w:val="24"/>
          <w:szCs w:val="24"/>
        </w:rPr>
        <w:t>的药学服务模式，如社区药师签约服务、药师上门服务等，打造全方位的患者健康管理，提高患者满意度。</w:t>
      </w:r>
    </w:p>
    <w:p w14:paraId="14FFAAEC">
      <w:pPr>
        <w:pStyle w:val="4"/>
        <w:numPr>
          <w:ilvl w:val="0"/>
          <w:numId w:val="52"/>
        </w:numPr>
        <w:spacing w:line="360" w:lineRule="auto"/>
        <w:rPr>
          <w:rFonts w:hint="eastAsia" w:asciiTheme="minorEastAsia" w:hAnsiTheme="minorEastAsia"/>
          <w:sz w:val="28"/>
          <w:szCs w:val="28"/>
        </w:rPr>
      </w:pPr>
      <w:r>
        <w:rPr>
          <w:rFonts w:hint="eastAsia" w:asciiTheme="minorEastAsia" w:hAnsiTheme="minorEastAsia"/>
          <w:sz w:val="28"/>
          <w:szCs w:val="28"/>
        </w:rPr>
        <w:t>方便患者就医</w:t>
      </w:r>
    </w:p>
    <w:p w14:paraId="67210253">
      <w:pPr>
        <w:spacing w:line="360" w:lineRule="auto"/>
        <w:ind w:firstLine="480" w:firstLineChars="200"/>
        <w:rPr>
          <w:rFonts w:hint="eastAsia" w:cs="Arial" w:asciiTheme="minorEastAsia" w:hAnsiTheme="minorEastAsia"/>
          <w:sz w:val="24"/>
          <w:szCs w:val="24"/>
          <w:highlight w:val="yellow"/>
        </w:rPr>
      </w:pPr>
      <w:r>
        <w:rPr>
          <w:rFonts w:hint="eastAsia" w:cs="Arial" w:asciiTheme="minorEastAsia" w:hAnsiTheme="minorEastAsia"/>
          <w:sz w:val="24"/>
          <w:szCs w:val="24"/>
        </w:rPr>
        <w:t>建立区域合理用药管理平台，确保患者在基层医疗机构即可享受到高质量的药学服务，方便患者就近就医，符合分级诊疗原则。</w:t>
      </w:r>
    </w:p>
    <w:p w14:paraId="49F2C056">
      <w:pPr>
        <w:pStyle w:val="3"/>
        <w:numPr>
          <w:ilvl w:val="0"/>
          <w:numId w:val="51"/>
        </w:numPr>
        <w:spacing w:line="360" w:lineRule="auto"/>
        <w:rPr>
          <w:rFonts w:hint="eastAsia" w:asciiTheme="minorEastAsia" w:hAnsiTheme="minorEastAsia" w:eastAsiaTheme="minorEastAsia"/>
        </w:rPr>
      </w:pPr>
      <w:bookmarkStart w:id="78" w:name="_Toc172378864"/>
      <w:bookmarkStart w:id="79" w:name="_Toc172211393"/>
      <w:bookmarkStart w:id="80" w:name="_Toc172818903"/>
      <w:bookmarkStart w:id="81" w:name="_Toc172561276"/>
      <w:r>
        <w:rPr>
          <w:rFonts w:hint="eastAsia" w:asciiTheme="minorEastAsia" w:hAnsiTheme="minorEastAsia" w:eastAsiaTheme="minorEastAsia"/>
        </w:rPr>
        <w:t>革新传统上报机制，全面掌握区域用药情况</w:t>
      </w:r>
      <w:bookmarkEnd w:id="78"/>
      <w:bookmarkEnd w:id="79"/>
      <w:bookmarkEnd w:id="80"/>
      <w:bookmarkEnd w:id="81"/>
    </w:p>
    <w:p w14:paraId="79DF4224">
      <w:pPr>
        <w:spacing w:line="360" w:lineRule="auto"/>
        <w:ind w:firstLine="480" w:firstLineChars="200"/>
        <w:rPr>
          <w:rFonts w:hint="eastAsia" w:cs="Arial" w:asciiTheme="minorEastAsia" w:hAnsiTheme="minorEastAsia"/>
          <w:sz w:val="24"/>
          <w:szCs w:val="24"/>
          <w:highlight w:val="yellow"/>
        </w:rPr>
      </w:pPr>
      <w:r>
        <w:rPr>
          <w:rFonts w:hint="eastAsia" w:cs="Arial" w:asciiTheme="minorEastAsia" w:hAnsiTheme="minorEastAsia"/>
          <w:sz w:val="24"/>
          <w:szCs w:val="24"/>
        </w:rPr>
        <w:t>建立区域合理用药管理平台，旨在革新传统繁琐与滞后的上报流程，赋予监管部门直接访问权限，实现对各医疗机构药品使用数据的实时、高效审视与全面监测，从而及时发现药品质量问题、药品滥用现象等潜在风险。区域合理用药管理平台不仅简化了信息传递链条，显著提升了监管的精准度与效率，为构建更加安全、合理的医疗用药环境奠定了坚实的技术基础，还能帮助监管部门快速了解区域内各医疗机构用药情况，为制定合理的用药政策和措施提供依据，实现临床用药管理的宏观监管及针对性指导。</w:t>
      </w:r>
    </w:p>
    <w:p w14:paraId="3662A5AE">
      <w:pPr>
        <w:pStyle w:val="3"/>
        <w:numPr>
          <w:ilvl w:val="0"/>
          <w:numId w:val="51"/>
        </w:numPr>
        <w:spacing w:line="360" w:lineRule="auto"/>
        <w:rPr>
          <w:rFonts w:hint="eastAsia" w:asciiTheme="minorEastAsia" w:hAnsiTheme="minorEastAsia" w:eastAsiaTheme="minorEastAsia"/>
        </w:rPr>
      </w:pPr>
      <w:bookmarkStart w:id="82" w:name="_Toc172818904"/>
      <w:r>
        <w:rPr>
          <w:rFonts w:hint="eastAsia" w:asciiTheme="minorEastAsia" w:hAnsiTheme="minorEastAsia" w:eastAsiaTheme="minorEastAsia"/>
        </w:rPr>
        <w:t>开展专项整治，破解不合理用药“顽疾”</w:t>
      </w:r>
      <w:bookmarkEnd w:id="82"/>
    </w:p>
    <w:p w14:paraId="155DB114">
      <w:pPr>
        <w:spacing w:line="360" w:lineRule="auto"/>
        <w:ind w:firstLine="480" w:firstLineChars="200"/>
        <w:rPr>
          <w:rFonts w:hint="eastAsia" w:cs="Arial" w:asciiTheme="minorEastAsia" w:hAnsiTheme="minorEastAsia"/>
          <w:sz w:val="24"/>
          <w:szCs w:val="24"/>
        </w:rPr>
      </w:pPr>
      <w:r>
        <w:rPr>
          <w:rFonts w:hint="eastAsia" w:cs="Arial" w:asciiTheme="minorEastAsia" w:hAnsiTheme="minorEastAsia"/>
          <w:sz w:val="24"/>
          <w:szCs w:val="24"/>
        </w:rPr>
        <w:t>借助区域合理用药管理平台，监管部门能够深度剖析抗菌药物滥用、激素类药物不当使用等不合理用药问题，制定出覆盖全区的、针对性强的用药规范与整治策略，开展专项整治行动，针对抗菌药物滥用等长期存在的“顽疾”，实施精准打击、综合施策。</w:t>
      </w:r>
    </w:p>
    <w:p w14:paraId="5E1239DD">
      <w:pPr>
        <w:widowControl/>
        <w:spacing w:line="360" w:lineRule="auto"/>
        <w:rPr>
          <w:rFonts w:hint="eastAsia" w:asciiTheme="minorEastAsia" w:hAnsiTheme="minorEastAsia"/>
        </w:rPr>
      </w:pPr>
      <w:bookmarkStart w:id="83" w:name="_Toc458089584"/>
      <w:bookmarkEnd w:id="83"/>
      <w:bookmarkStart w:id="84" w:name="_Toc458089577"/>
      <w:bookmarkEnd w:id="84"/>
      <w:bookmarkStart w:id="85" w:name="_Toc458529720"/>
      <w:bookmarkEnd w:id="85"/>
      <w:bookmarkStart w:id="86" w:name="_Toc458089583"/>
      <w:bookmarkEnd w:id="86"/>
      <w:bookmarkStart w:id="87" w:name="_Toc458529718"/>
      <w:bookmarkEnd w:id="87"/>
      <w:bookmarkStart w:id="88" w:name="_Toc459038356"/>
      <w:bookmarkEnd w:id="88"/>
      <w:bookmarkStart w:id="89" w:name="_Toc458089696"/>
      <w:bookmarkEnd w:id="89"/>
      <w:bookmarkStart w:id="90" w:name="_Toc458089697"/>
      <w:bookmarkEnd w:id="90"/>
      <w:bookmarkStart w:id="91" w:name="_Toc458529719"/>
      <w:bookmarkEnd w:id="91"/>
      <w:bookmarkStart w:id="92" w:name="_Toc458089691"/>
      <w:bookmarkEnd w:id="92"/>
      <w:bookmarkStart w:id="93" w:name="_Toc458089698"/>
      <w:bookmarkEnd w:id="93"/>
      <w:bookmarkStart w:id="94" w:name="_Toc459038354"/>
      <w:bookmarkEnd w:id="94"/>
      <w:bookmarkStart w:id="95" w:name="_Toc458089582"/>
      <w:bookmarkEnd w:id="95"/>
      <w:bookmarkStart w:id="96" w:name="_Toc459038355"/>
      <w:bookmarkEnd w:id="96"/>
      <w:bookmarkStart w:id="97" w:name="_Toc458529713"/>
      <w:bookmarkEnd w:id="97"/>
      <w:bookmarkStart w:id="98" w:name="_Toc85615959"/>
      <w:bookmarkEnd w:id="98"/>
      <w:bookmarkStart w:id="99" w:name="_Toc118288689"/>
      <w:bookmarkEnd w:id="99"/>
      <w:bookmarkStart w:id="100" w:name="_Toc85615958"/>
      <w:bookmarkEnd w:id="100"/>
      <w:bookmarkStart w:id="101" w:name="_Toc118726079"/>
      <w:bookmarkEnd w:id="101"/>
      <w:bookmarkStart w:id="102" w:name="_Toc107318494"/>
      <w:bookmarkEnd w:id="102"/>
      <w:bookmarkStart w:id="103" w:name="_Toc85616001"/>
      <w:bookmarkEnd w:id="103"/>
      <w:bookmarkStart w:id="104" w:name="_Toc110004719"/>
      <w:bookmarkEnd w:id="104"/>
      <w:bookmarkStart w:id="105" w:name="_Toc459038349"/>
      <w:bookmarkEnd w:id="105"/>
      <w:bookmarkStart w:id="106" w:name="_Toc110004577"/>
      <w:bookmarkEnd w:id="106"/>
      <w:bookmarkStart w:id="107" w:name="_Toc118288538"/>
      <w:bookmarkEnd w:id="107"/>
      <w:bookmarkStart w:id="108" w:name="_Toc111463206"/>
      <w:bookmarkEnd w:id="108"/>
      <w:bookmarkStart w:id="109" w:name="_Toc91683448"/>
      <w:bookmarkEnd w:id="109"/>
      <w:bookmarkStart w:id="110" w:name="_Toc91683315"/>
      <w:bookmarkEnd w:id="110"/>
      <w:bookmarkStart w:id="111" w:name="_Toc118729019"/>
      <w:bookmarkEnd w:id="111"/>
      <w:bookmarkStart w:id="112" w:name="_Toc118725925"/>
      <w:bookmarkEnd w:id="112"/>
      <w:bookmarkStart w:id="113" w:name="_Toc85789866"/>
      <w:bookmarkEnd w:id="113"/>
    </w:p>
    <w:sectPr>
      <w:headerReference r:id="rId3" w:type="default"/>
      <w:footerReference r:id="rId4" w:type="default"/>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Book Antiqua">
    <w:altName w:val="Segoe Print"/>
    <w:panose1 w:val="02040602050305030304"/>
    <w:charset w:val="00"/>
    <w:family w:val="roman"/>
    <w:pitch w:val="default"/>
    <w:sig w:usb0="00000000" w:usb1="00000000" w:usb2="00000000" w:usb3="00000000" w:csb0="0000009F" w:csb1="00000000"/>
  </w:font>
  <w:font w:name="Segoe Print">
    <w:panose1 w:val="02000600000000000000"/>
    <w:charset w:val="00"/>
    <w:family w:val="auto"/>
    <w:pitch w:val="default"/>
    <w:sig w:usb0="0000028F" w:usb1="00000000" w:usb2="00000000" w:usb3="00000000" w:csb0="2000009F" w:csb1="47010000"/>
  </w:font>
  <w:font w:name="等线">
    <w:altName w:val="微软雅黑"/>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A5F03">
    <w:pPr>
      <w:pStyle w:val="19"/>
      <w:jc w:val="center"/>
    </w:pPr>
    <w:r>
      <w:rPr>
        <w:rFonts w:hint="eastAsia"/>
      </w:rPr>
      <w:fldChar w:fldCharType="begin"/>
    </w:r>
    <w:r>
      <w:rPr>
        <w:rFonts w:hint="eastAsia"/>
      </w:rPr>
      <w:instrText xml:space="preserve"> PAGE  \* MERGEFORMAT </w:instrText>
    </w:r>
    <w:r>
      <w:rPr>
        <w:rFonts w:hint="eastAsia"/>
      </w:rPr>
      <w:fldChar w:fldCharType="separate"/>
    </w:r>
    <w:r>
      <w:t>72</w:t>
    </w:r>
    <w:r>
      <w:rPr>
        <w:rFonts w:hint="eastAsia"/>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1AB4F">
    <w:pPr>
      <w:pStyle w:val="20"/>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F31AA2"/>
    <w:multiLevelType w:val="multilevel"/>
    <w:tmpl w:val="04F31AA2"/>
    <w:lvl w:ilvl="0" w:tentative="0">
      <w:start w:val="1"/>
      <w:numFmt w:val="japaneseCounting"/>
      <w:lvlText w:val="（%1）"/>
      <w:lvlJc w:val="left"/>
      <w:pPr>
        <w:ind w:left="885" w:hanging="885"/>
      </w:pPr>
      <w:rPr>
        <w:rFonts w:hint="default"/>
        <w:sz w:val="28"/>
        <w:szCs w:val="28"/>
      </w:rPr>
    </w:lvl>
    <w:lvl w:ilvl="1" w:tentative="0">
      <w:start w:val="1"/>
      <w:numFmt w:val="decimal"/>
      <w:lvlText w:val="%2."/>
      <w:lvlJc w:val="left"/>
      <w:pPr>
        <w:ind w:left="840" w:hanging="420"/>
      </w:pPr>
      <w:rPr>
        <w:color w:val="auto"/>
      </w:rPr>
    </w:lvl>
    <w:lvl w:ilvl="2" w:tentative="0">
      <w:start w:val="1"/>
      <w:numFmt w:val="decimal"/>
      <w:lvlText w:val="%3）"/>
      <w:lvlJc w:val="left"/>
      <w:pPr>
        <w:ind w:left="502" w:hanging="360"/>
      </w:pPr>
      <w:rPr>
        <w:rFonts w:hint="default"/>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6D672C0"/>
    <w:multiLevelType w:val="multilevel"/>
    <w:tmpl w:val="06D672C0"/>
    <w:lvl w:ilvl="0" w:tentative="0">
      <w:start w:val="1"/>
      <w:numFmt w:val="decimal"/>
      <w:lvlText w:val="%1."/>
      <w:lvlJc w:val="left"/>
      <w:pPr>
        <w:ind w:left="840" w:hanging="420"/>
      </w:pPr>
      <w:rPr>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E3A6AE8"/>
    <w:multiLevelType w:val="multilevel"/>
    <w:tmpl w:val="0E3A6AE8"/>
    <w:lvl w:ilvl="0" w:tentative="0">
      <w:start w:val="1"/>
      <w:numFmt w:val="decimal"/>
      <w:lvlText w:val="%1."/>
      <w:lvlJc w:val="left"/>
      <w:pPr>
        <w:ind w:left="3114"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11EF3E33"/>
    <w:multiLevelType w:val="multilevel"/>
    <w:tmpl w:val="11EF3E33"/>
    <w:lvl w:ilvl="0" w:tentative="0">
      <w:start w:val="1"/>
      <w:numFmt w:val="chineseCountingThousand"/>
      <w:lvlText w:val="(%1)"/>
      <w:lvlJc w:val="left"/>
      <w:pPr>
        <w:ind w:left="420" w:hanging="420"/>
      </w:pPr>
      <w:rPr>
        <w:rFonts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2435464"/>
    <w:multiLevelType w:val="multilevel"/>
    <w:tmpl w:val="12435464"/>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142E6692"/>
    <w:multiLevelType w:val="multilevel"/>
    <w:tmpl w:val="142E6692"/>
    <w:lvl w:ilvl="0" w:tentative="0">
      <w:start w:val="1"/>
      <w:numFmt w:val="decimal"/>
      <w:lvlText w:val="5.%1"/>
      <w:lvlJc w:val="left"/>
      <w:pPr>
        <w:ind w:left="1260" w:hanging="420"/>
      </w:pPr>
      <w:rPr>
        <w:rFonts w:hint="default"/>
      </w:rPr>
    </w:lvl>
    <w:lvl w:ilvl="1" w:tentative="0">
      <w:start w:val="1"/>
      <w:numFmt w:val="lowerLetter"/>
      <w:lvlText w:val="%2)"/>
      <w:lvlJc w:val="left"/>
      <w:pPr>
        <w:ind w:left="840" w:hanging="420"/>
      </w:pPr>
    </w:lvl>
    <w:lvl w:ilvl="2" w:tentative="0">
      <w:start w:val="1"/>
      <w:numFmt w:val="decimal"/>
      <w:lvlText w:val="5.%3"/>
      <w:lvlJc w:val="left"/>
      <w:pPr>
        <w:ind w:left="1260" w:hanging="420"/>
      </w:pPr>
      <w:rPr>
        <w:rFonts w:hint="default"/>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6E16EFA"/>
    <w:multiLevelType w:val="multilevel"/>
    <w:tmpl w:val="16E16EFA"/>
    <w:lvl w:ilvl="0" w:tentative="0">
      <w:start w:val="1"/>
      <w:numFmt w:val="decimal"/>
      <w:lvlText w:val="%1"/>
      <w:lvlJc w:val="left"/>
      <w:pPr>
        <w:ind w:left="425" w:hanging="425"/>
      </w:pPr>
      <w:rPr>
        <w:rFonts w:hint="default"/>
      </w:r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7">
    <w:nsid w:val="17846119"/>
    <w:multiLevelType w:val="multilevel"/>
    <w:tmpl w:val="17846119"/>
    <w:lvl w:ilvl="0" w:tentative="0">
      <w:start w:val="1"/>
      <w:numFmt w:val="chineseCountingThousand"/>
      <w:lvlText w:val="%1、"/>
      <w:lvlJc w:val="left"/>
      <w:pPr>
        <w:ind w:left="420" w:hanging="420"/>
      </w:pPr>
      <w:rPr>
        <w:rFonts w:hint="eastAsia"/>
      </w:rPr>
    </w:lvl>
    <w:lvl w:ilvl="1" w:tentative="0">
      <w:start w:val="1"/>
      <w:numFmt w:val="decimal"/>
      <w:lvlText w:val="%2."/>
      <w:lvlJc w:val="left"/>
      <w:pPr>
        <w:ind w:left="420" w:firstLine="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1A322D20"/>
    <w:multiLevelType w:val="multilevel"/>
    <w:tmpl w:val="1A322D20"/>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1ADC1C6E"/>
    <w:multiLevelType w:val="multilevel"/>
    <w:tmpl w:val="1ADC1C6E"/>
    <w:lvl w:ilvl="0" w:tentative="0">
      <w:start w:val="1"/>
      <w:numFmt w:val="decimal"/>
      <w:lvlText w:val="%1."/>
      <w:lvlJc w:val="left"/>
      <w:pPr>
        <w:ind w:left="840" w:hanging="420"/>
      </w:pPr>
      <w:rPr>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1CBF09BD"/>
    <w:multiLevelType w:val="multilevel"/>
    <w:tmpl w:val="1CBF09BD"/>
    <w:lvl w:ilvl="0" w:tentative="0">
      <w:start w:val="1"/>
      <w:numFmt w:val="decimal"/>
      <w:lvlText w:val="%1)"/>
      <w:lvlJc w:val="left"/>
      <w:pPr>
        <w:ind w:left="840" w:hanging="42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1CE10A36"/>
    <w:multiLevelType w:val="multilevel"/>
    <w:tmpl w:val="1CE10A36"/>
    <w:lvl w:ilvl="0" w:tentative="0">
      <w:start w:val="1"/>
      <w:numFmt w:val="decimal"/>
      <w:lvlText w:val="5.2.%1"/>
      <w:lvlJc w:val="left"/>
      <w:pPr>
        <w:ind w:left="168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5.2.%4"/>
      <w:lvlJc w:val="left"/>
      <w:pPr>
        <w:ind w:left="1680" w:hanging="420"/>
      </w:pPr>
      <w:rPr>
        <w:rFonts w:hint="default"/>
      </w:r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1FF36D40"/>
    <w:multiLevelType w:val="multilevel"/>
    <w:tmpl w:val="1FF36D40"/>
    <w:lvl w:ilvl="0" w:tentative="0">
      <w:start w:val="1"/>
      <w:numFmt w:val="decimal"/>
      <w:lvlText w:val="%1)"/>
      <w:lvlJc w:val="left"/>
      <w:pPr>
        <w:ind w:left="840" w:hanging="42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20EB1161"/>
    <w:multiLevelType w:val="multilevel"/>
    <w:tmpl w:val="20EB1161"/>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211842CD"/>
    <w:multiLevelType w:val="multilevel"/>
    <w:tmpl w:val="211842CD"/>
    <w:lvl w:ilvl="0" w:tentative="0">
      <w:start w:val="1"/>
      <w:numFmt w:val="decimal"/>
      <w:lvlText w:val="%1)"/>
      <w:lvlJc w:val="left"/>
      <w:pPr>
        <w:ind w:left="425" w:hanging="425"/>
      </w:pPr>
      <w:rPr>
        <w:rFonts w:ascii="宋体" w:hAnsi="宋体" w:eastAsia="宋体"/>
      </w:rPr>
    </w:lvl>
    <w:lvl w:ilvl="1" w:tentative="0">
      <w:start w:val="1"/>
      <w:numFmt w:val="decimal"/>
      <w:lvlText w:val="%1.%2"/>
      <w:lvlJc w:val="left"/>
      <w:pPr>
        <w:ind w:left="992" w:hanging="567"/>
      </w:pPr>
    </w:lvl>
    <w:lvl w:ilvl="2" w:tentative="0">
      <w:start w:val="1"/>
      <w:numFmt w:val="decimal"/>
      <w:lvlText w:val="%1.%2.%3"/>
      <w:lvlJc w:val="left"/>
      <w:pPr>
        <w:ind w:left="1418" w:hanging="567"/>
      </w:pPr>
      <w:rPr>
        <w:rFonts w:ascii="宋体" w:hAnsi="宋体" w:eastAsia="宋体"/>
      </w:r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15">
    <w:nsid w:val="25DB0515"/>
    <w:multiLevelType w:val="multilevel"/>
    <w:tmpl w:val="25DB0515"/>
    <w:lvl w:ilvl="0" w:tentative="0">
      <w:start w:val="1"/>
      <w:numFmt w:val="decimal"/>
      <w:lvlText w:val="（%1）"/>
      <w:lvlJc w:val="left"/>
      <w:pPr>
        <w:ind w:left="562" w:hanging="420"/>
      </w:pPr>
      <w:rPr>
        <w:rFonts w:hint="eastAsia"/>
        <w:b/>
        <w:bCs/>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260264ED"/>
    <w:multiLevelType w:val="multilevel"/>
    <w:tmpl w:val="260264ED"/>
    <w:lvl w:ilvl="0" w:tentative="0">
      <w:start w:val="1"/>
      <w:numFmt w:val="chineseCountingThousand"/>
      <w:lvlText w:val="%1、"/>
      <w:lvlJc w:val="left"/>
      <w:pPr>
        <w:ind w:left="420" w:hanging="420"/>
      </w:pPr>
      <w:rPr>
        <w:rFonts w:hint="eastAsia"/>
      </w:rPr>
    </w:lvl>
    <w:lvl w:ilvl="1" w:tentative="0">
      <w:start w:val="1"/>
      <w:numFmt w:val="decimal"/>
      <w:lvlText w:val="%2."/>
      <w:lvlJc w:val="left"/>
      <w:pPr>
        <w:ind w:left="420" w:firstLine="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28A16420"/>
    <w:multiLevelType w:val="multilevel"/>
    <w:tmpl w:val="28A16420"/>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8">
    <w:nsid w:val="29155549"/>
    <w:multiLevelType w:val="multilevel"/>
    <w:tmpl w:val="29155549"/>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9">
    <w:nsid w:val="2B227FE2"/>
    <w:multiLevelType w:val="multilevel"/>
    <w:tmpl w:val="2B227FE2"/>
    <w:lvl w:ilvl="0" w:tentative="0">
      <w:start w:val="1"/>
      <w:numFmt w:val="decimal"/>
      <w:lvlText w:val="%1）"/>
      <w:lvlJc w:val="left"/>
      <w:pPr>
        <w:ind w:left="454" w:hanging="454"/>
      </w:pPr>
      <w:rPr>
        <w:rFonts w:hint="default" w:ascii="宋体" w:hAnsi="宋体" w:eastAsia="宋体"/>
      </w:rPr>
    </w:lvl>
    <w:lvl w:ilvl="1" w:tentative="0">
      <w:start w:val="1"/>
      <w:numFmt w:val="decimal"/>
      <w:lvlText w:val="2.%2"/>
      <w:lvlJc w:val="left"/>
      <w:pPr>
        <w:ind w:left="908" w:hanging="454"/>
      </w:pPr>
      <w:rPr>
        <w:rFonts w:hint="default"/>
      </w:rPr>
    </w:lvl>
    <w:lvl w:ilvl="2" w:tentative="0">
      <w:start w:val="1"/>
      <w:numFmt w:val="decimal"/>
      <w:lvlText w:val="%1.%2.%3"/>
      <w:lvlJc w:val="left"/>
      <w:pPr>
        <w:ind w:left="1362" w:hanging="454"/>
      </w:pPr>
      <w:rPr>
        <w:rFonts w:hint="eastAsia"/>
        <w:b w:val="0"/>
        <w:bCs w:val="0"/>
      </w:rPr>
    </w:lvl>
    <w:lvl w:ilvl="3" w:tentative="0">
      <w:start w:val="1"/>
      <w:numFmt w:val="decimal"/>
      <w:lvlText w:val="%1.%2.%3.%4"/>
      <w:lvlJc w:val="left"/>
      <w:pPr>
        <w:ind w:left="1816" w:hanging="454"/>
      </w:pPr>
      <w:rPr>
        <w:rFonts w:hint="eastAsia"/>
      </w:rPr>
    </w:lvl>
    <w:lvl w:ilvl="4" w:tentative="0">
      <w:start w:val="1"/>
      <w:numFmt w:val="decimal"/>
      <w:lvlText w:val="%1.%2.%3.%4.%5"/>
      <w:lvlJc w:val="left"/>
      <w:pPr>
        <w:ind w:left="2270" w:hanging="454"/>
      </w:pPr>
      <w:rPr>
        <w:rFonts w:hint="eastAsia"/>
      </w:rPr>
    </w:lvl>
    <w:lvl w:ilvl="5" w:tentative="0">
      <w:start w:val="1"/>
      <w:numFmt w:val="decimal"/>
      <w:lvlText w:val="%1.%2.%3.%4.%5.%6"/>
      <w:lvlJc w:val="left"/>
      <w:pPr>
        <w:ind w:left="2724" w:hanging="454"/>
      </w:pPr>
      <w:rPr>
        <w:rFonts w:hint="eastAsia"/>
      </w:rPr>
    </w:lvl>
    <w:lvl w:ilvl="6" w:tentative="0">
      <w:start w:val="1"/>
      <w:numFmt w:val="decimal"/>
      <w:lvlText w:val="%1.%2.%3.%4.%5.%6.%7"/>
      <w:lvlJc w:val="left"/>
      <w:pPr>
        <w:ind w:left="3178" w:hanging="454"/>
      </w:pPr>
      <w:rPr>
        <w:rFonts w:hint="eastAsia"/>
      </w:rPr>
    </w:lvl>
    <w:lvl w:ilvl="7" w:tentative="0">
      <w:start w:val="1"/>
      <w:numFmt w:val="decimal"/>
      <w:lvlText w:val="%1.%2.%3.%4.%5.%6.%7.%8"/>
      <w:lvlJc w:val="left"/>
      <w:pPr>
        <w:ind w:left="3632" w:hanging="454"/>
      </w:pPr>
      <w:rPr>
        <w:rFonts w:hint="eastAsia"/>
      </w:rPr>
    </w:lvl>
    <w:lvl w:ilvl="8" w:tentative="0">
      <w:start w:val="1"/>
      <w:numFmt w:val="decimal"/>
      <w:lvlText w:val="%1.%2.%3.%4.%5.%6.%7.%8.%9"/>
      <w:lvlJc w:val="left"/>
      <w:pPr>
        <w:ind w:left="4086" w:hanging="454"/>
      </w:pPr>
      <w:rPr>
        <w:rFonts w:hint="eastAsia"/>
      </w:rPr>
    </w:lvl>
  </w:abstractNum>
  <w:abstractNum w:abstractNumId="20">
    <w:nsid w:val="2D850E16"/>
    <w:multiLevelType w:val="multilevel"/>
    <w:tmpl w:val="2D850E16"/>
    <w:lvl w:ilvl="0" w:tentative="0">
      <w:start w:val="1"/>
      <w:numFmt w:val="chineseCountingThousand"/>
      <w:lvlText w:val="(%1)"/>
      <w:lvlJc w:val="left"/>
      <w:pPr>
        <w:ind w:left="420" w:hanging="420"/>
      </w:pPr>
      <w:rPr>
        <w:rFonts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32F76B08"/>
    <w:multiLevelType w:val="multilevel"/>
    <w:tmpl w:val="32F76B08"/>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22">
    <w:nsid w:val="34060B53"/>
    <w:multiLevelType w:val="multilevel"/>
    <w:tmpl w:val="34060B53"/>
    <w:lvl w:ilvl="0" w:tentative="0">
      <w:start w:val="1"/>
      <w:numFmt w:val="chineseCountingThousand"/>
      <w:lvlText w:val="(%1)"/>
      <w:lvlJc w:val="left"/>
      <w:pPr>
        <w:ind w:left="420" w:hanging="420"/>
      </w:pPr>
      <w:rPr>
        <w:rFonts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37171DF8"/>
    <w:multiLevelType w:val="multilevel"/>
    <w:tmpl w:val="37171DF8"/>
    <w:lvl w:ilvl="0" w:tentative="0">
      <w:start w:val="1"/>
      <w:numFmt w:val="decimal"/>
      <w:lvlText w:val="%1）"/>
      <w:lvlJc w:val="left"/>
      <w:pPr>
        <w:ind w:left="454" w:hanging="454"/>
      </w:pPr>
      <w:rPr>
        <w:rFonts w:hint="default" w:ascii="宋体" w:hAnsi="宋体" w:eastAsia="宋体"/>
      </w:rPr>
    </w:lvl>
    <w:lvl w:ilvl="1" w:tentative="0">
      <w:start w:val="1"/>
      <w:numFmt w:val="decimal"/>
      <w:lvlText w:val="%1.%2"/>
      <w:lvlJc w:val="left"/>
      <w:pPr>
        <w:ind w:left="908" w:hanging="454"/>
      </w:pPr>
      <w:rPr>
        <w:rFonts w:hint="eastAsia"/>
      </w:rPr>
    </w:lvl>
    <w:lvl w:ilvl="2" w:tentative="0">
      <w:start w:val="1"/>
      <w:numFmt w:val="decimal"/>
      <w:lvlText w:val="%1.%2.%3"/>
      <w:lvlJc w:val="left"/>
      <w:pPr>
        <w:ind w:left="1362" w:hanging="454"/>
      </w:pPr>
      <w:rPr>
        <w:rFonts w:hint="eastAsia"/>
      </w:rPr>
    </w:lvl>
    <w:lvl w:ilvl="3" w:tentative="0">
      <w:start w:val="1"/>
      <w:numFmt w:val="decimal"/>
      <w:lvlText w:val="%1.%2.%3.%4"/>
      <w:lvlJc w:val="left"/>
      <w:pPr>
        <w:ind w:left="1816" w:hanging="454"/>
      </w:pPr>
      <w:rPr>
        <w:rFonts w:hint="eastAsia"/>
      </w:rPr>
    </w:lvl>
    <w:lvl w:ilvl="4" w:tentative="0">
      <w:start w:val="1"/>
      <w:numFmt w:val="decimal"/>
      <w:lvlText w:val="%1.%2.%3.%4.%5"/>
      <w:lvlJc w:val="left"/>
      <w:pPr>
        <w:ind w:left="2270" w:hanging="454"/>
      </w:pPr>
      <w:rPr>
        <w:rFonts w:hint="eastAsia"/>
      </w:rPr>
    </w:lvl>
    <w:lvl w:ilvl="5" w:tentative="0">
      <w:start w:val="1"/>
      <w:numFmt w:val="decimal"/>
      <w:lvlText w:val="%1.%2.%3.%4.%5.%6"/>
      <w:lvlJc w:val="left"/>
      <w:pPr>
        <w:ind w:left="2724" w:hanging="454"/>
      </w:pPr>
      <w:rPr>
        <w:rFonts w:hint="eastAsia"/>
      </w:rPr>
    </w:lvl>
    <w:lvl w:ilvl="6" w:tentative="0">
      <w:start w:val="1"/>
      <w:numFmt w:val="decimal"/>
      <w:lvlText w:val="%1.%2.%3.%4.%5.%6.%7"/>
      <w:lvlJc w:val="left"/>
      <w:pPr>
        <w:ind w:left="3178" w:hanging="454"/>
      </w:pPr>
      <w:rPr>
        <w:rFonts w:hint="eastAsia"/>
      </w:rPr>
    </w:lvl>
    <w:lvl w:ilvl="7" w:tentative="0">
      <w:start w:val="1"/>
      <w:numFmt w:val="decimal"/>
      <w:lvlText w:val="%1.%2.%3.%4.%5.%6.%7.%8"/>
      <w:lvlJc w:val="left"/>
      <w:pPr>
        <w:ind w:left="3632" w:hanging="454"/>
      </w:pPr>
      <w:rPr>
        <w:rFonts w:hint="eastAsia"/>
      </w:rPr>
    </w:lvl>
    <w:lvl w:ilvl="8" w:tentative="0">
      <w:start w:val="1"/>
      <w:numFmt w:val="decimal"/>
      <w:lvlText w:val="%1.%2.%3.%4.%5.%6.%7.%8.%9"/>
      <w:lvlJc w:val="left"/>
      <w:pPr>
        <w:ind w:left="4086" w:hanging="454"/>
      </w:pPr>
      <w:rPr>
        <w:rFonts w:hint="eastAsia"/>
      </w:rPr>
    </w:lvl>
  </w:abstractNum>
  <w:abstractNum w:abstractNumId="24">
    <w:nsid w:val="3A2D097A"/>
    <w:multiLevelType w:val="multilevel"/>
    <w:tmpl w:val="3A2D097A"/>
    <w:lvl w:ilvl="0" w:tentative="0">
      <w:start w:val="1"/>
      <w:numFmt w:val="decimal"/>
      <w:lvlText w:val="%1."/>
      <w:lvlJc w:val="left"/>
      <w:pPr>
        <w:ind w:left="840" w:hanging="420"/>
      </w:pPr>
      <w:rPr>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40D1579B"/>
    <w:multiLevelType w:val="multilevel"/>
    <w:tmpl w:val="40D1579B"/>
    <w:lvl w:ilvl="0" w:tentative="0">
      <w:start w:val="1"/>
      <w:numFmt w:val="decimal"/>
      <w:lvlText w:val="%1）"/>
      <w:lvlJc w:val="left"/>
      <w:pPr>
        <w:ind w:left="454" w:hanging="454"/>
      </w:pPr>
      <w:rPr>
        <w:rFonts w:hint="default" w:ascii="宋体" w:hAnsi="宋体" w:eastAsia="宋体"/>
      </w:rPr>
    </w:lvl>
    <w:lvl w:ilvl="1" w:tentative="0">
      <w:start w:val="1"/>
      <w:numFmt w:val="decimal"/>
      <w:lvlText w:val="%1.%2"/>
      <w:lvlJc w:val="left"/>
      <w:pPr>
        <w:ind w:left="908" w:hanging="454"/>
      </w:pPr>
      <w:rPr>
        <w:rFonts w:hint="eastAsia" w:ascii="宋体" w:hAnsi="宋体" w:eastAsia="宋体"/>
      </w:rPr>
    </w:lvl>
    <w:lvl w:ilvl="2" w:tentative="0">
      <w:start w:val="1"/>
      <w:numFmt w:val="decimal"/>
      <w:lvlText w:val="%1.%2.%3"/>
      <w:lvlJc w:val="left"/>
      <w:pPr>
        <w:ind w:left="1362" w:hanging="454"/>
      </w:pPr>
      <w:rPr>
        <w:rFonts w:hint="eastAsia"/>
      </w:rPr>
    </w:lvl>
    <w:lvl w:ilvl="3" w:tentative="0">
      <w:start w:val="1"/>
      <w:numFmt w:val="decimal"/>
      <w:lvlText w:val="%1.%2.%3.%4"/>
      <w:lvlJc w:val="left"/>
      <w:pPr>
        <w:ind w:left="1816" w:hanging="454"/>
      </w:pPr>
      <w:rPr>
        <w:rFonts w:hint="eastAsia"/>
      </w:rPr>
    </w:lvl>
    <w:lvl w:ilvl="4" w:tentative="0">
      <w:start w:val="1"/>
      <w:numFmt w:val="decimal"/>
      <w:lvlText w:val="%1.%2.%3.%4.%5"/>
      <w:lvlJc w:val="left"/>
      <w:pPr>
        <w:ind w:left="2270" w:hanging="454"/>
      </w:pPr>
      <w:rPr>
        <w:rFonts w:hint="eastAsia"/>
      </w:rPr>
    </w:lvl>
    <w:lvl w:ilvl="5" w:tentative="0">
      <w:start w:val="1"/>
      <w:numFmt w:val="decimal"/>
      <w:lvlText w:val="%1.%2.%3.%4.%5.%6"/>
      <w:lvlJc w:val="left"/>
      <w:pPr>
        <w:ind w:left="2724" w:hanging="454"/>
      </w:pPr>
      <w:rPr>
        <w:rFonts w:hint="eastAsia"/>
      </w:rPr>
    </w:lvl>
    <w:lvl w:ilvl="6" w:tentative="0">
      <w:start w:val="1"/>
      <w:numFmt w:val="decimal"/>
      <w:lvlText w:val="%1.%2.%3.%4.%5.%6.%7"/>
      <w:lvlJc w:val="left"/>
      <w:pPr>
        <w:ind w:left="3178" w:hanging="454"/>
      </w:pPr>
      <w:rPr>
        <w:rFonts w:hint="eastAsia"/>
      </w:rPr>
    </w:lvl>
    <w:lvl w:ilvl="7" w:tentative="0">
      <w:start w:val="1"/>
      <w:numFmt w:val="decimal"/>
      <w:lvlText w:val="%1.%2.%3.%4.%5.%6.%7.%8"/>
      <w:lvlJc w:val="left"/>
      <w:pPr>
        <w:ind w:left="3632" w:hanging="454"/>
      </w:pPr>
      <w:rPr>
        <w:rFonts w:hint="eastAsia"/>
      </w:rPr>
    </w:lvl>
    <w:lvl w:ilvl="8" w:tentative="0">
      <w:start w:val="1"/>
      <w:numFmt w:val="decimal"/>
      <w:lvlText w:val="%1.%2.%3.%4.%5.%6.%7.%8.%9"/>
      <w:lvlJc w:val="left"/>
      <w:pPr>
        <w:ind w:left="4086" w:hanging="454"/>
      </w:pPr>
      <w:rPr>
        <w:rFonts w:hint="eastAsia"/>
      </w:rPr>
    </w:lvl>
  </w:abstractNum>
  <w:abstractNum w:abstractNumId="26">
    <w:nsid w:val="43E55CCD"/>
    <w:multiLevelType w:val="multilevel"/>
    <w:tmpl w:val="43E55CCD"/>
    <w:lvl w:ilvl="0" w:tentative="0">
      <w:start w:val="1"/>
      <w:numFmt w:val="decimal"/>
      <w:lvlText w:val="5.3.%1"/>
      <w:lvlJc w:val="left"/>
      <w:pPr>
        <w:ind w:left="168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5.3.%4"/>
      <w:lvlJc w:val="left"/>
      <w:pPr>
        <w:ind w:left="1680" w:hanging="420"/>
      </w:pPr>
      <w:rPr>
        <w:rFonts w:hint="default"/>
      </w:r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458B2508"/>
    <w:multiLevelType w:val="multilevel"/>
    <w:tmpl w:val="458B2508"/>
    <w:lvl w:ilvl="0" w:tentative="0">
      <w:start w:val="1"/>
      <w:numFmt w:val="decimal"/>
      <w:lvlText w:val="%1）"/>
      <w:lvlJc w:val="left"/>
      <w:pPr>
        <w:ind w:left="454" w:hanging="454"/>
      </w:pPr>
      <w:rPr>
        <w:rFonts w:hint="default" w:ascii="宋体" w:hAnsi="宋体" w:eastAsia="宋体"/>
      </w:rPr>
    </w:lvl>
    <w:lvl w:ilvl="1" w:tentative="0">
      <w:start w:val="1"/>
      <w:numFmt w:val="decimal"/>
      <w:lvlText w:val="%1.%2"/>
      <w:lvlJc w:val="left"/>
      <w:pPr>
        <w:ind w:left="908" w:hanging="454"/>
      </w:pPr>
      <w:rPr>
        <w:rFonts w:hint="eastAsia"/>
      </w:rPr>
    </w:lvl>
    <w:lvl w:ilvl="2" w:tentative="0">
      <w:start w:val="1"/>
      <w:numFmt w:val="lowerLetter"/>
      <w:lvlText w:val="%3)"/>
      <w:lvlJc w:val="left"/>
      <w:pPr>
        <w:ind w:left="1348" w:hanging="440"/>
      </w:pPr>
      <w:rPr>
        <w:rFonts w:hint="default"/>
      </w:rPr>
    </w:lvl>
    <w:lvl w:ilvl="3" w:tentative="0">
      <w:start w:val="1"/>
      <w:numFmt w:val="decimal"/>
      <w:lvlText w:val="%1.%2.%3.%4"/>
      <w:lvlJc w:val="left"/>
      <w:pPr>
        <w:ind w:left="1816" w:hanging="454"/>
      </w:pPr>
      <w:rPr>
        <w:rFonts w:hint="eastAsia"/>
      </w:rPr>
    </w:lvl>
    <w:lvl w:ilvl="4" w:tentative="0">
      <w:start w:val="1"/>
      <w:numFmt w:val="decimal"/>
      <w:lvlText w:val="%1.%2.%3.%4.%5"/>
      <w:lvlJc w:val="left"/>
      <w:pPr>
        <w:ind w:left="2270" w:hanging="454"/>
      </w:pPr>
      <w:rPr>
        <w:rFonts w:hint="eastAsia"/>
      </w:rPr>
    </w:lvl>
    <w:lvl w:ilvl="5" w:tentative="0">
      <w:start w:val="1"/>
      <w:numFmt w:val="decimal"/>
      <w:lvlText w:val="%1.%2.%3.%4.%5.%6"/>
      <w:lvlJc w:val="left"/>
      <w:pPr>
        <w:ind w:left="2724" w:hanging="454"/>
      </w:pPr>
      <w:rPr>
        <w:rFonts w:hint="eastAsia"/>
      </w:rPr>
    </w:lvl>
    <w:lvl w:ilvl="6" w:tentative="0">
      <w:start w:val="1"/>
      <w:numFmt w:val="decimal"/>
      <w:lvlText w:val="%1.%2.%3.%4.%5.%6.%7"/>
      <w:lvlJc w:val="left"/>
      <w:pPr>
        <w:ind w:left="3178" w:hanging="454"/>
      </w:pPr>
      <w:rPr>
        <w:rFonts w:hint="eastAsia"/>
      </w:rPr>
    </w:lvl>
    <w:lvl w:ilvl="7" w:tentative="0">
      <w:start w:val="1"/>
      <w:numFmt w:val="decimal"/>
      <w:lvlText w:val="%1.%2.%3.%4.%5.%6.%7.%8"/>
      <w:lvlJc w:val="left"/>
      <w:pPr>
        <w:ind w:left="3632" w:hanging="454"/>
      </w:pPr>
      <w:rPr>
        <w:rFonts w:hint="eastAsia"/>
      </w:rPr>
    </w:lvl>
    <w:lvl w:ilvl="8" w:tentative="0">
      <w:start w:val="1"/>
      <w:numFmt w:val="decimal"/>
      <w:lvlText w:val="%1.%2.%3.%4.%5.%6.%7.%8.%9"/>
      <w:lvlJc w:val="left"/>
      <w:pPr>
        <w:ind w:left="4086" w:hanging="454"/>
      </w:pPr>
      <w:rPr>
        <w:rFonts w:hint="eastAsia"/>
      </w:rPr>
    </w:lvl>
  </w:abstractNum>
  <w:abstractNum w:abstractNumId="28">
    <w:nsid w:val="48AF127A"/>
    <w:multiLevelType w:val="multilevel"/>
    <w:tmpl w:val="48AF127A"/>
    <w:lvl w:ilvl="0" w:tentative="0">
      <w:start w:val="1"/>
      <w:numFmt w:val="decimal"/>
      <w:lvlText w:val="%1)"/>
      <w:lvlJc w:val="left"/>
      <w:pPr>
        <w:ind w:left="425" w:hanging="425"/>
      </w:pPr>
      <w:rPr>
        <w:rFonts w:ascii="宋体" w:hAnsi="宋体" w:eastAsia="宋体"/>
      </w:rPr>
    </w:lvl>
    <w:lvl w:ilvl="1" w:tentative="0">
      <w:start w:val="1"/>
      <w:numFmt w:val="decimal"/>
      <w:lvlText w:val="%1.%2"/>
      <w:lvlJc w:val="left"/>
      <w:pPr>
        <w:ind w:left="992" w:hanging="567"/>
      </w:pPr>
    </w:lvl>
    <w:lvl w:ilvl="2" w:tentative="0">
      <w:start w:val="1"/>
      <w:numFmt w:val="decimal"/>
      <w:lvlText w:val="%1.%2.%3"/>
      <w:lvlJc w:val="left"/>
      <w:pPr>
        <w:ind w:left="1418" w:hanging="567"/>
      </w:pPr>
      <w:rPr>
        <w:rFonts w:ascii="宋体" w:hAnsi="宋体" w:eastAsia="宋体"/>
      </w:r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29">
    <w:nsid w:val="4A183736"/>
    <w:multiLevelType w:val="multilevel"/>
    <w:tmpl w:val="4A183736"/>
    <w:lvl w:ilvl="0" w:tentative="0">
      <w:start w:val="1"/>
      <w:numFmt w:val="decimal"/>
      <w:lvlText w:val="%1."/>
      <w:lvlJc w:val="left"/>
      <w:pPr>
        <w:ind w:left="840" w:hanging="420"/>
      </w:pPr>
      <w:rPr>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0">
    <w:nsid w:val="4C5F2A82"/>
    <w:multiLevelType w:val="multilevel"/>
    <w:tmpl w:val="4C5F2A82"/>
    <w:lvl w:ilvl="0" w:tentative="0">
      <w:start w:val="1"/>
      <w:numFmt w:val="bullet"/>
      <w:lvlText w:val=""/>
      <w:lvlJc w:val="left"/>
      <w:pPr>
        <w:ind w:left="980" w:hanging="420"/>
      </w:pPr>
      <w:rPr>
        <w:rFonts w:hint="default" w:ascii="Wingdings" w:hAnsi="Wingdings"/>
      </w:rPr>
    </w:lvl>
    <w:lvl w:ilvl="1" w:tentative="0">
      <w:start w:val="1"/>
      <w:numFmt w:val="bullet"/>
      <w:lvlText w:val=""/>
      <w:lvlJc w:val="left"/>
      <w:pPr>
        <w:ind w:left="1400" w:hanging="420"/>
      </w:pPr>
      <w:rPr>
        <w:rFonts w:hint="default" w:ascii="Wingdings" w:hAnsi="Wingdings"/>
      </w:rPr>
    </w:lvl>
    <w:lvl w:ilvl="2" w:tentative="0">
      <w:start w:val="1"/>
      <w:numFmt w:val="bullet"/>
      <w:lvlText w:val=""/>
      <w:lvlJc w:val="left"/>
      <w:pPr>
        <w:ind w:left="1820" w:hanging="420"/>
      </w:pPr>
      <w:rPr>
        <w:rFonts w:hint="default" w:ascii="Wingdings" w:hAnsi="Wingdings"/>
      </w:rPr>
    </w:lvl>
    <w:lvl w:ilvl="3" w:tentative="0">
      <w:start w:val="1"/>
      <w:numFmt w:val="bullet"/>
      <w:lvlText w:val=""/>
      <w:lvlJc w:val="left"/>
      <w:pPr>
        <w:ind w:left="2240" w:hanging="420"/>
      </w:pPr>
      <w:rPr>
        <w:rFonts w:hint="default" w:ascii="Wingdings" w:hAnsi="Wingdings"/>
      </w:rPr>
    </w:lvl>
    <w:lvl w:ilvl="4" w:tentative="0">
      <w:start w:val="1"/>
      <w:numFmt w:val="bullet"/>
      <w:lvlText w:val=""/>
      <w:lvlJc w:val="left"/>
      <w:pPr>
        <w:ind w:left="2660" w:hanging="420"/>
      </w:pPr>
      <w:rPr>
        <w:rFonts w:hint="default" w:ascii="Wingdings" w:hAnsi="Wingdings"/>
      </w:rPr>
    </w:lvl>
    <w:lvl w:ilvl="5" w:tentative="0">
      <w:start w:val="1"/>
      <w:numFmt w:val="bullet"/>
      <w:lvlText w:val=""/>
      <w:lvlJc w:val="left"/>
      <w:pPr>
        <w:ind w:left="3080" w:hanging="420"/>
      </w:pPr>
      <w:rPr>
        <w:rFonts w:hint="default" w:ascii="Wingdings" w:hAnsi="Wingdings"/>
      </w:rPr>
    </w:lvl>
    <w:lvl w:ilvl="6" w:tentative="0">
      <w:start w:val="1"/>
      <w:numFmt w:val="bullet"/>
      <w:lvlText w:val=""/>
      <w:lvlJc w:val="left"/>
      <w:pPr>
        <w:ind w:left="3500" w:hanging="420"/>
      </w:pPr>
      <w:rPr>
        <w:rFonts w:hint="default" w:ascii="Wingdings" w:hAnsi="Wingdings"/>
      </w:rPr>
    </w:lvl>
    <w:lvl w:ilvl="7" w:tentative="0">
      <w:start w:val="1"/>
      <w:numFmt w:val="bullet"/>
      <w:lvlText w:val=""/>
      <w:lvlJc w:val="left"/>
      <w:pPr>
        <w:ind w:left="3920" w:hanging="420"/>
      </w:pPr>
      <w:rPr>
        <w:rFonts w:hint="default" w:ascii="Wingdings" w:hAnsi="Wingdings"/>
      </w:rPr>
    </w:lvl>
    <w:lvl w:ilvl="8" w:tentative="0">
      <w:start w:val="1"/>
      <w:numFmt w:val="bullet"/>
      <w:lvlText w:val=""/>
      <w:lvlJc w:val="left"/>
      <w:pPr>
        <w:ind w:left="4340" w:hanging="420"/>
      </w:pPr>
      <w:rPr>
        <w:rFonts w:hint="default" w:ascii="Wingdings" w:hAnsi="Wingdings"/>
      </w:rPr>
    </w:lvl>
  </w:abstractNum>
  <w:abstractNum w:abstractNumId="31">
    <w:nsid w:val="4CC14422"/>
    <w:multiLevelType w:val="multilevel"/>
    <w:tmpl w:val="4CC14422"/>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2">
    <w:nsid w:val="4CEB25DA"/>
    <w:multiLevelType w:val="multilevel"/>
    <w:tmpl w:val="4CEB25DA"/>
    <w:lvl w:ilvl="0" w:tentative="0">
      <w:start w:val="1"/>
      <w:numFmt w:val="decimal"/>
      <w:lvlText w:val="%1."/>
      <w:lvlJc w:val="left"/>
      <w:pPr>
        <w:ind w:left="425" w:hanging="425"/>
      </w:pPr>
    </w:lvl>
    <w:lvl w:ilvl="1" w:tentative="0">
      <w:start w:val="1"/>
      <w:numFmt w:val="decimal"/>
      <w:lvlText w:val="%2)"/>
      <w:lvlJc w:val="left"/>
      <w:pPr>
        <w:ind w:left="1560"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33">
    <w:nsid w:val="4F80149F"/>
    <w:multiLevelType w:val="multilevel"/>
    <w:tmpl w:val="4F80149F"/>
    <w:lvl w:ilvl="0" w:tentative="0">
      <w:start w:val="1"/>
      <w:numFmt w:val="decimal"/>
      <w:pStyle w:val="93"/>
      <w:lvlText w:val="3.%1"/>
      <w:lvlJc w:val="left"/>
      <w:pPr>
        <w:ind w:left="1200" w:hanging="720"/>
      </w:pPr>
      <w:rPr>
        <w:rFonts w:hint="default"/>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4">
    <w:nsid w:val="5B372653"/>
    <w:multiLevelType w:val="multilevel"/>
    <w:tmpl w:val="5B372653"/>
    <w:lvl w:ilvl="0" w:tentative="0">
      <w:start w:val="1"/>
      <w:numFmt w:val="decimal"/>
      <w:lvlText w:val="%1)"/>
      <w:lvlJc w:val="left"/>
      <w:pPr>
        <w:ind w:left="840" w:hanging="42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5">
    <w:nsid w:val="5BAB797D"/>
    <w:multiLevelType w:val="multilevel"/>
    <w:tmpl w:val="5BAB797D"/>
    <w:lvl w:ilvl="0" w:tentative="0">
      <w:start w:val="1"/>
      <w:numFmt w:val="decimal"/>
      <w:lvlText w:val="%1."/>
      <w:lvlJc w:val="left"/>
      <w:pPr>
        <w:ind w:left="840" w:hanging="420"/>
      </w:pPr>
      <w:rPr>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6">
    <w:nsid w:val="5CE9223F"/>
    <w:multiLevelType w:val="multilevel"/>
    <w:tmpl w:val="5CE9223F"/>
    <w:lvl w:ilvl="0" w:tentative="0">
      <w:start w:val="1"/>
      <w:numFmt w:val="decimal"/>
      <w:lvlText w:val="%1）"/>
      <w:lvlJc w:val="left"/>
      <w:pPr>
        <w:ind w:left="454" w:hanging="454"/>
      </w:pPr>
      <w:rPr>
        <w:rFonts w:hint="default" w:ascii="宋体" w:hAnsi="宋体" w:eastAsia="宋体"/>
      </w:rPr>
    </w:lvl>
    <w:lvl w:ilvl="1" w:tentative="0">
      <w:start w:val="1"/>
      <w:numFmt w:val="decimal"/>
      <w:lvlText w:val="2.%2"/>
      <w:lvlJc w:val="left"/>
      <w:pPr>
        <w:ind w:left="908" w:hanging="454"/>
      </w:pPr>
      <w:rPr>
        <w:rFonts w:hint="default"/>
      </w:rPr>
    </w:lvl>
    <w:lvl w:ilvl="2" w:tentative="0">
      <w:start w:val="1"/>
      <w:numFmt w:val="decimal"/>
      <w:lvlText w:val="%1.%2.%3"/>
      <w:lvlJc w:val="left"/>
      <w:pPr>
        <w:ind w:left="1362" w:hanging="454"/>
      </w:pPr>
      <w:rPr>
        <w:rFonts w:hint="eastAsia"/>
        <w:b w:val="0"/>
        <w:bCs w:val="0"/>
      </w:rPr>
    </w:lvl>
    <w:lvl w:ilvl="3" w:tentative="0">
      <w:start w:val="1"/>
      <w:numFmt w:val="decimal"/>
      <w:lvlText w:val="%1.%2.%3.%4"/>
      <w:lvlJc w:val="left"/>
      <w:pPr>
        <w:ind w:left="1816" w:hanging="454"/>
      </w:pPr>
      <w:rPr>
        <w:rFonts w:hint="eastAsia"/>
      </w:rPr>
    </w:lvl>
    <w:lvl w:ilvl="4" w:tentative="0">
      <w:start w:val="1"/>
      <w:numFmt w:val="decimal"/>
      <w:lvlText w:val="%1.%2.%3.%4.%5"/>
      <w:lvlJc w:val="left"/>
      <w:pPr>
        <w:ind w:left="2270" w:hanging="454"/>
      </w:pPr>
      <w:rPr>
        <w:rFonts w:hint="eastAsia"/>
      </w:rPr>
    </w:lvl>
    <w:lvl w:ilvl="5" w:tentative="0">
      <w:start w:val="1"/>
      <w:numFmt w:val="decimal"/>
      <w:lvlText w:val="%1.%2.%3.%4.%5.%6"/>
      <w:lvlJc w:val="left"/>
      <w:pPr>
        <w:ind w:left="2724" w:hanging="454"/>
      </w:pPr>
      <w:rPr>
        <w:rFonts w:hint="eastAsia"/>
      </w:rPr>
    </w:lvl>
    <w:lvl w:ilvl="6" w:tentative="0">
      <w:start w:val="1"/>
      <w:numFmt w:val="decimal"/>
      <w:lvlText w:val="%1.%2.%3.%4.%5.%6.%7"/>
      <w:lvlJc w:val="left"/>
      <w:pPr>
        <w:ind w:left="3178" w:hanging="454"/>
      </w:pPr>
      <w:rPr>
        <w:rFonts w:hint="eastAsia"/>
      </w:rPr>
    </w:lvl>
    <w:lvl w:ilvl="7" w:tentative="0">
      <w:start w:val="1"/>
      <w:numFmt w:val="decimal"/>
      <w:lvlText w:val="%1.%2.%3.%4.%5.%6.%7.%8"/>
      <w:lvlJc w:val="left"/>
      <w:pPr>
        <w:ind w:left="3632" w:hanging="454"/>
      </w:pPr>
      <w:rPr>
        <w:rFonts w:hint="eastAsia"/>
      </w:rPr>
    </w:lvl>
    <w:lvl w:ilvl="8" w:tentative="0">
      <w:start w:val="1"/>
      <w:numFmt w:val="decimal"/>
      <w:lvlText w:val="%1.%2.%3.%4.%5.%6.%7.%8.%9"/>
      <w:lvlJc w:val="left"/>
      <w:pPr>
        <w:ind w:left="4086" w:hanging="454"/>
      </w:pPr>
      <w:rPr>
        <w:rFonts w:hint="eastAsia"/>
      </w:rPr>
    </w:lvl>
  </w:abstractNum>
  <w:abstractNum w:abstractNumId="37">
    <w:nsid w:val="5F725104"/>
    <w:multiLevelType w:val="multilevel"/>
    <w:tmpl w:val="5F725104"/>
    <w:lvl w:ilvl="0" w:tentative="0">
      <w:start w:val="1"/>
      <w:numFmt w:val="chineseCountingThousand"/>
      <w:lvlText w:val="(%1)"/>
      <w:lvlJc w:val="left"/>
      <w:pPr>
        <w:ind w:left="420" w:hanging="420"/>
      </w:pPr>
      <w:rPr>
        <w:rFonts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8">
    <w:nsid w:val="60CE08F9"/>
    <w:multiLevelType w:val="multilevel"/>
    <w:tmpl w:val="60CE08F9"/>
    <w:lvl w:ilvl="0" w:tentative="0">
      <w:start w:val="1"/>
      <w:numFmt w:val="chineseCountingThousand"/>
      <w:lvlText w:val="(%1)"/>
      <w:lvlJc w:val="left"/>
      <w:pPr>
        <w:ind w:left="420" w:hanging="420"/>
      </w:pPr>
      <w:rPr>
        <w:rFonts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9">
    <w:nsid w:val="62175DA8"/>
    <w:multiLevelType w:val="multilevel"/>
    <w:tmpl w:val="62175DA8"/>
    <w:lvl w:ilvl="0" w:tentative="0">
      <w:start w:val="1"/>
      <w:numFmt w:val="decimal"/>
      <w:lvlText w:val="%1）"/>
      <w:lvlJc w:val="left"/>
      <w:pPr>
        <w:ind w:left="454" w:hanging="454"/>
      </w:pPr>
      <w:rPr>
        <w:rFonts w:hint="default"/>
      </w:rPr>
    </w:lvl>
    <w:lvl w:ilvl="1" w:tentative="0">
      <w:start w:val="1"/>
      <w:numFmt w:val="decimal"/>
      <w:lvlText w:val="%1.%2"/>
      <w:lvlJc w:val="left"/>
      <w:pPr>
        <w:ind w:left="908" w:hanging="454"/>
      </w:pPr>
      <w:rPr>
        <w:rFonts w:hint="eastAsia"/>
      </w:rPr>
    </w:lvl>
    <w:lvl w:ilvl="2" w:tentative="0">
      <w:start w:val="1"/>
      <w:numFmt w:val="decimal"/>
      <w:lvlText w:val="%1.%2.%3"/>
      <w:lvlJc w:val="left"/>
      <w:pPr>
        <w:ind w:left="1362" w:hanging="454"/>
      </w:pPr>
      <w:rPr>
        <w:rFonts w:hint="eastAsia"/>
      </w:rPr>
    </w:lvl>
    <w:lvl w:ilvl="3" w:tentative="0">
      <w:start w:val="1"/>
      <w:numFmt w:val="decimal"/>
      <w:lvlText w:val="%1.%2.%3.%4"/>
      <w:lvlJc w:val="left"/>
      <w:pPr>
        <w:ind w:left="1816" w:hanging="454"/>
      </w:pPr>
      <w:rPr>
        <w:rFonts w:hint="eastAsia"/>
      </w:rPr>
    </w:lvl>
    <w:lvl w:ilvl="4" w:tentative="0">
      <w:start w:val="1"/>
      <w:numFmt w:val="decimal"/>
      <w:lvlText w:val="%1.%2.%3.%4.%5"/>
      <w:lvlJc w:val="left"/>
      <w:pPr>
        <w:ind w:left="2270" w:hanging="454"/>
      </w:pPr>
      <w:rPr>
        <w:rFonts w:hint="eastAsia"/>
      </w:rPr>
    </w:lvl>
    <w:lvl w:ilvl="5" w:tentative="0">
      <w:start w:val="1"/>
      <w:numFmt w:val="decimal"/>
      <w:lvlText w:val="%1.%2.%3.%4.%5.%6"/>
      <w:lvlJc w:val="left"/>
      <w:pPr>
        <w:ind w:left="2724" w:hanging="454"/>
      </w:pPr>
      <w:rPr>
        <w:rFonts w:hint="eastAsia"/>
      </w:rPr>
    </w:lvl>
    <w:lvl w:ilvl="6" w:tentative="0">
      <w:start w:val="1"/>
      <w:numFmt w:val="decimal"/>
      <w:lvlText w:val="%1.%2.%3.%4.%5.%6.%7"/>
      <w:lvlJc w:val="left"/>
      <w:pPr>
        <w:ind w:left="3178" w:hanging="454"/>
      </w:pPr>
      <w:rPr>
        <w:rFonts w:hint="eastAsia"/>
      </w:rPr>
    </w:lvl>
    <w:lvl w:ilvl="7" w:tentative="0">
      <w:start w:val="1"/>
      <w:numFmt w:val="decimal"/>
      <w:lvlText w:val="%1.%2.%3.%4.%5.%6.%7.%8"/>
      <w:lvlJc w:val="left"/>
      <w:pPr>
        <w:ind w:left="3632" w:hanging="454"/>
      </w:pPr>
      <w:rPr>
        <w:rFonts w:hint="eastAsia"/>
      </w:rPr>
    </w:lvl>
    <w:lvl w:ilvl="8" w:tentative="0">
      <w:start w:val="1"/>
      <w:numFmt w:val="decimal"/>
      <w:lvlText w:val="%1.%2.%3.%4.%5.%6.%7.%8.%9"/>
      <w:lvlJc w:val="left"/>
      <w:pPr>
        <w:ind w:left="4086" w:hanging="454"/>
      </w:pPr>
      <w:rPr>
        <w:rFonts w:hint="eastAsia"/>
      </w:rPr>
    </w:lvl>
  </w:abstractNum>
  <w:abstractNum w:abstractNumId="40">
    <w:nsid w:val="638772FF"/>
    <w:multiLevelType w:val="multilevel"/>
    <w:tmpl w:val="638772FF"/>
    <w:lvl w:ilvl="0" w:tentative="0">
      <w:start w:val="1"/>
      <w:numFmt w:val="decimal"/>
      <w:lvlText w:val="%1."/>
      <w:lvlJc w:val="left"/>
      <w:pPr>
        <w:ind w:left="840" w:hanging="420"/>
      </w:pPr>
      <w:rPr>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1">
    <w:nsid w:val="65E556E2"/>
    <w:multiLevelType w:val="multilevel"/>
    <w:tmpl w:val="65E556E2"/>
    <w:lvl w:ilvl="0" w:tentative="0">
      <w:start w:val="1"/>
      <w:numFmt w:val="decimal"/>
      <w:lvlText w:val="%1."/>
      <w:lvlJc w:val="left"/>
      <w:pPr>
        <w:ind w:left="425" w:hanging="425"/>
      </w:pPr>
    </w:lvl>
    <w:lvl w:ilvl="1" w:tentative="0">
      <w:start w:val="1"/>
      <w:numFmt w:val="decimal"/>
      <w:lvlText w:val="%1.%2."/>
      <w:lvlJc w:val="left"/>
      <w:pPr>
        <w:ind w:left="1560"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42">
    <w:nsid w:val="66983475"/>
    <w:multiLevelType w:val="multilevel"/>
    <w:tmpl w:val="66983475"/>
    <w:lvl w:ilvl="0" w:tentative="0">
      <w:start w:val="1"/>
      <w:numFmt w:val="decimal"/>
      <w:lvlText w:val="5.1.%1"/>
      <w:lvlJc w:val="left"/>
      <w:pPr>
        <w:ind w:left="126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5.1.%4"/>
      <w:lvlJc w:val="left"/>
      <w:pPr>
        <w:ind w:left="1680" w:hanging="420"/>
      </w:pPr>
      <w:rPr>
        <w:rFonts w:hint="default"/>
      </w:r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3">
    <w:nsid w:val="6868277B"/>
    <w:multiLevelType w:val="multilevel"/>
    <w:tmpl w:val="6868277B"/>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4">
    <w:nsid w:val="68A67055"/>
    <w:multiLevelType w:val="multilevel"/>
    <w:tmpl w:val="68A67055"/>
    <w:lvl w:ilvl="0" w:tentative="0">
      <w:start w:val="1"/>
      <w:numFmt w:val="lowerLetter"/>
      <w:lvlText w:val="%1)"/>
      <w:lvlJc w:val="left"/>
      <w:pPr>
        <w:ind w:left="1320" w:hanging="420"/>
      </w:pPr>
    </w:lvl>
    <w:lvl w:ilvl="1" w:tentative="0">
      <w:start w:val="1"/>
      <w:numFmt w:val="lowerLetter"/>
      <w:lvlText w:val="%2)"/>
      <w:lvlJc w:val="left"/>
      <w:pPr>
        <w:ind w:left="1740" w:hanging="420"/>
      </w:pPr>
    </w:lvl>
    <w:lvl w:ilvl="2" w:tentative="0">
      <w:start w:val="1"/>
      <w:numFmt w:val="lowerRoman"/>
      <w:lvlText w:val="%3."/>
      <w:lvlJc w:val="right"/>
      <w:pPr>
        <w:ind w:left="2160" w:hanging="420"/>
      </w:pPr>
    </w:lvl>
    <w:lvl w:ilvl="3" w:tentative="0">
      <w:start w:val="1"/>
      <w:numFmt w:val="decimal"/>
      <w:lvlText w:val="%4."/>
      <w:lvlJc w:val="left"/>
      <w:pPr>
        <w:ind w:left="2580" w:hanging="420"/>
      </w:pPr>
    </w:lvl>
    <w:lvl w:ilvl="4" w:tentative="0">
      <w:start w:val="1"/>
      <w:numFmt w:val="lowerLetter"/>
      <w:lvlText w:val="%5)"/>
      <w:lvlJc w:val="left"/>
      <w:pPr>
        <w:ind w:left="3000" w:hanging="420"/>
      </w:pPr>
    </w:lvl>
    <w:lvl w:ilvl="5" w:tentative="0">
      <w:start w:val="1"/>
      <w:numFmt w:val="lowerRoman"/>
      <w:lvlText w:val="%6."/>
      <w:lvlJc w:val="right"/>
      <w:pPr>
        <w:ind w:left="3420" w:hanging="420"/>
      </w:pPr>
    </w:lvl>
    <w:lvl w:ilvl="6" w:tentative="0">
      <w:start w:val="1"/>
      <w:numFmt w:val="decimal"/>
      <w:lvlText w:val="%7."/>
      <w:lvlJc w:val="left"/>
      <w:pPr>
        <w:ind w:left="3840" w:hanging="420"/>
      </w:pPr>
    </w:lvl>
    <w:lvl w:ilvl="7" w:tentative="0">
      <w:start w:val="1"/>
      <w:numFmt w:val="lowerLetter"/>
      <w:lvlText w:val="%8)"/>
      <w:lvlJc w:val="left"/>
      <w:pPr>
        <w:ind w:left="4260" w:hanging="420"/>
      </w:pPr>
    </w:lvl>
    <w:lvl w:ilvl="8" w:tentative="0">
      <w:start w:val="1"/>
      <w:numFmt w:val="lowerRoman"/>
      <w:lvlText w:val="%9."/>
      <w:lvlJc w:val="right"/>
      <w:pPr>
        <w:ind w:left="4680" w:hanging="420"/>
      </w:pPr>
    </w:lvl>
  </w:abstractNum>
  <w:abstractNum w:abstractNumId="45">
    <w:nsid w:val="6A783B4C"/>
    <w:multiLevelType w:val="multilevel"/>
    <w:tmpl w:val="6A783B4C"/>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6">
    <w:nsid w:val="6E436118"/>
    <w:multiLevelType w:val="multilevel"/>
    <w:tmpl w:val="6E436118"/>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47">
    <w:nsid w:val="722B1E33"/>
    <w:multiLevelType w:val="multilevel"/>
    <w:tmpl w:val="722B1E33"/>
    <w:lvl w:ilvl="0" w:tentative="0">
      <w:start w:val="1"/>
      <w:numFmt w:val="chineseCountingThousand"/>
      <w:lvlText w:val="(%1)"/>
      <w:lvlJc w:val="left"/>
      <w:pPr>
        <w:ind w:left="420" w:hanging="420"/>
      </w:pPr>
      <w:rPr>
        <w:rFonts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8">
    <w:nsid w:val="73C52BAE"/>
    <w:multiLevelType w:val="multilevel"/>
    <w:tmpl w:val="73C52BAE"/>
    <w:lvl w:ilvl="0" w:tentative="0">
      <w:start w:val="1"/>
      <w:numFmt w:val="decimal"/>
      <w:lvlText w:val="4.%1"/>
      <w:lvlJc w:val="left"/>
      <w:pPr>
        <w:ind w:left="1260" w:hanging="420"/>
      </w:pPr>
      <w:rPr>
        <w:rFonts w:hint="default"/>
      </w:rPr>
    </w:lvl>
    <w:lvl w:ilvl="1" w:tentative="0">
      <w:start w:val="1"/>
      <w:numFmt w:val="lowerLetter"/>
      <w:lvlText w:val="%2)"/>
      <w:lvlJc w:val="left"/>
      <w:pPr>
        <w:ind w:left="840" w:hanging="420"/>
      </w:pPr>
    </w:lvl>
    <w:lvl w:ilvl="2" w:tentative="0">
      <w:start w:val="1"/>
      <w:numFmt w:val="decimal"/>
      <w:lvlText w:val="4.%3"/>
      <w:lvlJc w:val="left"/>
      <w:pPr>
        <w:ind w:left="1260" w:hanging="420"/>
      </w:pPr>
      <w:rPr>
        <w:rFonts w:hint="default"/>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9">
    <w:nsid w:val="7A654CDE"/>
    <w:multiLevelType w:val="multilevel"/>
    <w:tmpl w:val="7A654CDE"/>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0">
    <w:nsid w:val="7AF611F6"/>
    <w:multiLevelType w:val="multilevel"/>
    <w:tmpl w:val="7AF611F6"/>
    <w:lvl w:ilvl="0" w:tentative="0">
      <w:start w:val="1"/>
      <w:numFmt w:val="bullet"/>
      <w:lvlText w:val=""/>
      <w:lvlJc w:val="left"/>
      <w:pPr>
        <w:ind w:left="420" w:hanging="420"/>
      </w:pPr>
      <w:rPr>
        <w:rFonts w:hint="default" w:ascii="Wingdings" w:hAnsi="Wingdings"/>
        <w:b w:val="0"/>
        <w:bCs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1">
    <w:nsid w:val="7C2B3DEB"/>
    <w:multiLevelType w:val="multilevel"/>
    <w:tmpl w:val="7C2B3DEB"/>
    <w:lvl w:ilvl="0" w:tentative="0">
      <w:start w:val="1"/>
      <w:numFmt w:val="chineseCountingThousand"/>
      <w:lvlText w:val="(%1)"/>
      <w:lvlJc w:val="left"/>
      <w:pPr>
        <w:ind w:left="420" w:hanging="420"/>
      </w:pPr>
      <w:rPr>
        <w:rFonts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3"/>
  </w:num>
  <w:num w:numId="2">
    <w:abstractNumId w:val="7"/>
  </w:num>
  <w:num w:numId="3">
    <w:abstractNumId w:val="38"/>
  </w:num>
  <w:num w:numId="4">
    <w:abstractNumId w:val="13"/>
  </w:num>
  <w:num w:numId="5">
    <w:abstractNumId w:val="51"/>
  </w:num>
  <w:num w:numId="6">
    <w:abstractNumId w:val="43"/>
  </w:num>
  <w:num w:numId="7">
    <w:abstractNumId w:val="31"/>
  </w:num>
  <w:num w:numId="8">
    <w:abstractNumId w:val="49"/>
  </w:num>
  <w:num w:numId="9">
    <w:abstractNumId w:val="17"/>
  </w:num>
  <w:num w:numId="10">
    <w:abstractNumId w:val="3"/>
  </w:num>
  <w:num w:numId="11">
    <w:abstractNumId w:val="16"/>
  </w:num>
  <w:num w:numId="12">
    <w:abstractNumId w:val="37"/>
  </w:num>
  <w:num w:numId="13">
    <w:abstractNumId w:val="2"/>
  </w:num>
  <w:num w:numId="14">
    <w:abstractNumId w:val="20"/>
  </w:num>
  <w:num w:numId="15">
    <w:abstractNumId w:val="0"/>
  </w:num>
  <w:num w:numId="16">
    <w:abstractNumId w:val="12"/>
  </w:num>
  <w:num w:numId="17">
    <w:abstractNumId w:val="28"/>
  </w:num>
  <w:num w:numId="18">
    <w:abstractNumId w:val="19"/>
  </w:num>
  <w:num w:numId="19">
    <w:abstractNumId w:val="48"/>
  </w:num>
  <w:num w:numId="20">
    <w:abstractNumId w:val="5"/>
  </w:num>
  <w:num w:numId="21">
    <w:abstractNumId w:val="42"/>
  </w:num>
  <w:num w:numId="22">
    <w:abstractNumId w:val="11"/>
  </w:num>
  <w:num w:numId="23">
    <w:abstractNumId w:val="26"/>
  </w:num>
  <w:num w:numId="24">
    <w:abstractNumId w:val="50"/>
  </w:num>
  <w:num w:numId="25">
    <w:abstractNumId w:val="35"/>
  </w:num>
  <w:num w:numId="26">
    <w:abstractNumId w:val="34"/>
  </w:num>
  <w:num w:numId="27">
    <w:abstractNumId w:val="14"/>
  </w:num>
  <w:num w:numId="28">
    <w:abstractNumId w:val="44"/>
  </w:num>
  <w:num w:numId="29">
    <w:abstractNumId w:val="8"/>
  </w:num>
  <w:num w:numId="30">
    <w:abstractNumId w:val="45"/>
  </w:num>
  <w:num w:numId="31">
    <w:abstractNumId w:val="29"/>
  </w:num>
  <w:num w:numId="32">
    <w:abstractNumId w:val="10"/>
  </w:num>
  <w:num w:numId="33">
    <w:abstractNumId w:val="39"/>
  </w:num>
  <w:num w:numId="34">
    <w:abstractNumId w:val="30"/>
  </w:num>
  <w:num w:numId="35">
    <w:abstractNumId w:val="36"/>
  </w:num>
  <w:num w:numId="36">
    <w:abstractNumId w:val="40"/>
  </w:num>
  <w:num w:numId="37">
    <w:abstractNumId w:val="32"/>
  </w:num>
  <w:num w:numId="38">
    <w:abstractNumId w:val="41"/>
  </w:num>
  <w:num w:numId="39">
    <w:abstractNumId w:val="25"/>
  </w:num>
  <w:num w:numId="40">
    <w:abstractNumId w:val="24"/>
  </w:num>
  <w:num w:numId="41">
    <w:abstractNumId w:val="6"/>
  </w:num>
  <w:num w:numId="42">
    <w:abstractNumId w:val="23"/>
  </w:num>
  <w:num w:numId="43">
    <w:abstractNumId w:val="22"/>
  </w:num>
  <w:num w:numId="44">
    <w:abstractNumId w:val="9"/>
  </w:num>
  <w:num w:numId="45">
    <w:abstractNumId w:val="18"/>
  </w:num>
  <w:num w:numId="46">
    <w:abstractNumId w:val="21"/>
  </w:num>
  <w:num w:numId="47">
    <w:abstractNumId w:val="46"/>
  </w:num>
  <w:num w:numId="48">
    <w:abstractNumId w:val="15"/>
  </w:num>
  <w:num w:numId="49">
    <w:abstractNumId w:val="1"/>
  </w:num>
  <w:num w:numId="50">
    <w:abstractNumId w:val="27"/>
  </w:num>
  <w:num w:numId="51">
    <w:abstractNumId w:val="4"/>
  </w:num>
  <w:num w:numId="52">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C1A"/>
    <w:rsid w:val="00000885"/>
    <w:rsid w:val="00000922"/>
    <w:rsid w:val="00001699"/>
    <w:rsid w:val="0000335C"/>
    <w:rsid w:val="0000338A"/>
    <w:rsid w:val="0000378C"/>
    <w:rsid w:val="0000423E"/>
    <w:rsid w:val="000045DA"/>
    <w:rsid w:val="00005B2D"/>
    <w:rsid w:val="00007670"/>
    <w:rsid w:val="00007E0D"/>
    <w:rsid w:val="0001038B"/>
    <w:rsid w:val="000111F9"/>
    <w:rsid w:val="0001474F"/>
    <w:rsid w:val="000158FE"/>
    <w:rsid w:val="00015BD9"/>
    <w:rsid w:val="00017301"/>
    <w:rsid w:val="0001732F"/>
    <w:rsid w:val="0001796C"/>
    <w:rsid w:val="00020B45"/>
    <w:rsid w:val="00020DEC"/>
    <w:rsid w:val="0002145C"/>
    <w:rsid w:val="00021F48"/>
    <w:rsid w:val="00022E8B"/>
    <w:rsid w:val="00024066"/>
    <w:rsid w:val="00024B58"/>
    <w:rsid w:val="00025496"/>
    <w:rsid w:val="000263DD"/>
    <w:rsid w:val="000263F2"/>
    <w:rsid w:val="00027EB2"/>
    <w:rsid w:val="000305B4"/>
    <w:rsid w:val="000312DC"/>
    <w:rsid w:val="00032250"/>
    <w:rsid w:val="00032E61"/>
    <w:rsid w:val="00033C7D"/>
    <w:rsid w:val="00034B3F"/>
    <w:rsid w:val="00036383"/>
    <w:rsid w:val="00037212"/>
    <w:rsid w:val="00040628"/>
    <w:rsid w:val="00042B80"/>
    <w:rsid w:val="00043A70"/>
    <w:rsid w:val="00044971"/>
    <w:rsid w:val="00044A77"/>
    <w:rsid w:val="00045265"/>
    <w:rsid w:val="00045608"/>
    <w:rsid w:val="00045BBB"/>
    <w:rsid w:val="00046271"/>
    <w:rsid w:val="00046A04"/>
    <w:rsid w:val="000501C5"/>
    <w:rsid w:val="00050272"/>
    <w:rsid w:val="000518D6"/>
    <w:rsid w:val="000536B9"/>
    <w:rsid w:val="0005373C"/>
    <w:rsid w:val="000555EB"/>
    <w:rsid w:val="000556CA"/>
    <w:rsid w:val="0005699B"/>
    <w:rsid w:val="00056B99"/>
    <w:rsid w:val="00056D77"/>
    <w:rsid w:val="00057BDD"/>
    <w:rsid w:val="00057F08"/>
    <w:rsid w:val="000603CF"/>
    <w:rsid w:val="000607C3"/>
    <w:rsid w:val="00060A6D"/>
    <w:rsid w:val="0006107B"/>
    <w:rsid w:val="000622AB"/>
    <w:rsid w:val="0006244A"/>
    <w:rsid w:val="00063A1B"/>
    <w:rsid w:val="00065B2D"/>
    <w:rsid w:val="000709A4"/>
    <w:rsid w:val="0007142E"/>
    <w:rsid w:val="000741EB"/>
    <w:rsid w:val="00074EBF"/>
    <w:rsid w:val="00075779"/>
    <w:rsid w:val="00076C76"/>
    <w:rsid w:val="000801CB"/>
    <w:rsid w:val="000807E0"/>
    <w:rsid w:val="000819CA"/>
    <w:rsid w:val="00082026"/>
    <w:rsid w:val="000829BA"/>
    <w:rsid w:val="00082D7F"/>
    <w:rsid w:val="000874DC"/>
    <w:rsid w:val="0008796D"/>
    <w:rsid w:val="0009130D"/>
    <w:rsid w:val="00091B59"/>
    <w:rsid w:val="00091B86"/>
    <w:rsid w:val="000923FE"/>
    <w:rsid w:val="000935C3"/>
    <w:rsid w:val="00093AFA"/>
    <w:rsid w:val="00093B37"/>
    <w:rsid w:val="00093D7C"/>
    <w:rsid w:val="0009481D"/>
    <w:rsid w:val="00095D02"/>
    <w:rsid w:val="00096984"/>
    <w:rsid w:val="00096AEB"/>
    <w:rsid w:val="000A01DF"/>
    <w:rsid w:val="000A2C4E"/>
    <w:rsid w:val="000A30A4"/>
    <w:rsid w:val="000A3ECD"/>
    <w:rsid w:val="000A4B18"/>
    <w:rsid w:val="000A53D1"/>
    <w:rsid w:val="000A5708"/>
    <w:rsid w:val="000A6559"/>
    <w:rsid w:val="000B07F9"/>
    <w:rsid w:val="000B120C"/>
    <w:rsid w:val="000B1BC7"/>
    <w:rsid w:val="000B4ADE"/>
    <w:rsid w:val="000B4CB1"/>
    <w:rsid w:val="000B58C4"/>
    <w:rsid w:val="000B5914"/>
    <w:rsid w:val="000B6C60"/>
    <w:rsid w:val="000C14E2"/>
    <w:rsid w:val="000C16B8"/>
    <w:rsid w:val="000C1AD1"/>
    <w:rsid w:val="000C27FD"/>
    <w:rsid w:val="000C289F"/>
    <w:rsid w:val="000C51B7"/>
    <w:rsid w:val="000C620B"/>
    <w:rsid w:val="000C6A71"/>
    <w:rsid w:val="000C7115"/>
    <w:rsid w:val="000C763F"/>
    <w:rsid w:val="000D0855"/>
    <w:rsid w:val="000D2751"/>
    <w:rsid w:val="000D3BFC"/>
    <w:rsid w:val="000D48D9"/>
    <w:rsid w:val="000D4A02"/>
    <w:rsid w:val="000D736C"/>
    <w:rsid w:val="000D7C15"/>
    <w:rsid w:val="000D7CF0"/>
    <w:rsid w:val="000E010D"/>
    <w:rsid w:val="000E0199"/>
    <w:rsid w:val="000E2CFB"/>
    <w:rsid w:val="000E393C"/>
    <w:rsid w:val="000E3C78"/>
    <w:rsid w:val="000E4409"/>
    <w:rsid w:val="000E5AFF"/>
    <w:rsid w:val="000E6246"/>
    <w:rsid w:val="000E677D"/>
    <w:rsid w:val="000E69C9"/>
    <w:rsid w:val="000E7516"/>
    <w:rsid w:val="000E7979"/>
    <w:rsid w:val="000F1337"/>
    <w:rsid w:val="000F136F"/>
    <w:rsid w:val="000F2829"/>
    <w:rsid w:val="000F4E39"/>
    <w:rsid w:val="000F597E"/>
    <w:rsid w:val="000F67F4"/>
    <w:rsid w:val="000F6F6C"/>
    <w:rsid w:val="0010158B"/>
    <w:rsid w:val="00101724"/>
    <w:rsid w:val="00101E3F"/>
    <w:rsid w:val="00102405"/>
    <w:rsid w:val="001032BA"/>
    <w:rsid w:val="00103BBC"/>
    <w:rsid w:val="00104705"/>
    <w:rsid w:val="00104BE4"/>
    <w:rsid w:val="00105020"/>
    <w:rsid w:val="001051D2"/>
    <w:rsid w:val="001054F1"/>
    <w:rsid w:val="001070D9"/>
    <w:rsid w:val="0011095D"/>
    <w:rsid w:val="001109C2"/>
    <w:rsid w:val="00110B2B"/>
    <w:rsid w:val="00110CC8"/>
    <w:rsid w:val="0011145D"/>
    <w:rsid w:val="00112DD1"/>
    <w:rsid w:val="00114125"/>
    <w:rsid w:val="00114771"/>
    <w:rsid w:val="00114FE8"/>
    <w:rsid w:val="00116041"/>
    <w:rsid w:val="0011622F"/>
    <w:rsid w:val="00117FBC"/>
    <w:rsid w:val="00121673"/>
    <w:rsid w:val="00121A39"/>
    <w:rsid w:val="00121F54"/>
    <w:rsid w:val="00122EA4"/>
    <w:rsid w:val="00123411"/>
    <w:rsid w:val="00124355"/>
    <w:rsid w:val="0012469C"/>
    <w:rsid w:val="00126B63"/>
    <w:rsid w:val="00127250"/>
    <w:rsid w:val="001307C1"/>
    <w:rsid w:val="0013084A"/>
    <w:rsid w:val="0013268D"/>
    <w:rsid w:val="001340F3"/>
    <w:rsid w:val="00135291"/>
    <w:rsid w:val="00137819"/>
    <w:rsid w:val="001420EB"/>
    <w:rsid w:val="0014219B"/>
    <w:rsid w:val="0014252F"/>
    <w:rsid w:val="001431F8"/>
    <w:rsid w:val="00145243"/>
    <w:rsid w:val="00146424"/>
    <w:rsid w:val="00146AC0"/>
    <w:rsid w:val="00146C37"/>
    <w:rsid w:val="00147668"/>
    <w:rsid w:val="00147DDE"/>
    <w:rsid w:val="00147F49"/>
    <w:rsid w:val="00150730"/>
    <w:rsid w:val="0015241A"/>
    <w:rsid w:val="0015359D"/>
    <w:rsid w:val="00153E63"/>
    <w:rsid w:val="00153F01"/>
    <w:rsid w:val="001543A8"/>
    <w:rsid w:val="00154FD0"/>
    <w:rsid w:val="00155A53"/>
    <w:rsid w:val="00155E22"/>
    <w:rsid w:val="0015735E"/>
    <w:rsid w:val="00157DF9"/>
    <w:rsid w:val="00160104"/>
    <w:rsid w:val="00161246"/>
    <w:rsid w:val="0016371D"/>
    <w:rsid w:val="00163AB2"/>
    <w:rsid w:val="00164736"/>
    <w:rsid w:val="00164789"/>
    <w:rsid w:val="001658EF"/>
    <w:rsid w:val="00166035"/>
    <w:rsid w:val="00167F3F"/>
    <w:rsid w:val="00170BFD"/>
    <w:rsid w:val="0017229A"/>
    <w:rsid w:val="001723E9"/>
    <w:rsid w:val="0017266E"/>
    <w:rsid w:val="00174ACD"/>
    <w:rsid w:val="00174CD0"/>
    <w:rsid w:val="00175984"/>
    <w:rsid w:val="001761E2"/>
    <w:rsid w:val="00177CC4"/>
    <w:rsid w:val="00180023"/>
    <w:rsid w:val="001808DC"/>
    <w:rsid w:val="001830CB"/>
    <w:rsid w:val="00184976"/>
    <w:rsid w:val="00184B88"/>
    <w:rsid w:val="001857C6"/>
    <w:rsid w:val="00185CE0"/>
    <w:rsid w:val="00186B4C"/>
    <w:rsid w:val="00187494"/>
    <w:rsid w:val="00194A70"/>
    <w:rsid w:val="00196575"/>
    <w:rsid w:val="001A021D"/>
    <w:rsid w:val="001A1074"/>
    <w:rsid w:val="001A148A"/>
    <w:rsid w:val="001A3E8B"/>
    <w:rsid w:val="001A60FB"/>
    <w:rsid w:val="001A6FC5"/>
    <w:rsid w:val="001B12FD"/>
    <w:rsid w:val="001B186B"/>
    <w:rsid w:val="001B18BD"/>
    <w:rsid w:val="001B2209"/>
    <w:rsid w:val="001B2F21"/>
    <w:rsid w:val="001B3025"/>
    <w:rsid w:val="001B31BD"/>
    <w:rsid w:val="001B3D14"/>
    <w:rsid w:val="001B444F"/>
    <w:rsid w:val="001B4B0A"/>
    <w:rsid w:val="001B5450"/>
    <w:rsid w:val="001B5860"/>
    <w:rsid w:val="001B5A3E"/>
    <w:rsid w:val="001C0F35"/>
    <w:rsid w:val="001C1A32"/>
    <w:rsid w:val="001C3920"/>
    <w:rsid w:val="001C420D"/>
    <w:rsid w:val="001C4493"/>
    <w:rsid w:val="001C5758"/>
    <w:rsid w:val="001C777E"/>
    <w:rsid w:val="001D0068"/>
    <w:rsid w:val="001D062F"/>
    <w:rsid w:val="001D066D"/>
    <w:rsid w:val="001D09EA"/>
    <w:rsid w:val="001D1E74"/>
    <w:rsid w:val="001D2058"/>
    <w:rsid w:val="001D3250"/>
    <w:rsid w:val="001D459F"/>
    <w:rsid w:val="001D4665"/>
    <w:rsid w:val="001D51F3"/>
    <w:rsid w:val="001D6D30"/>
    <w:rsid w:val="001E25FE"/>
    <w:rsid w:val="001E2977"/>
    <w:rsid w:val="001E46BA"/>
    <w:rsid w:val="001E4EAA"/>
    <w:rsid w:val="001E5A76"/>
    <w:rsid w:val="001E7BDB"/>
    <w:rsid w:val="001F12E6"/>
    <w:rsid w:val="001F14D7"/>
    <w:rsid w:val="001F3528"/>
    <w:rsid w:val="001F3F8D"/>
    <w:rsid w:val="001F51A2"/>
    <w:rsid w:val="001F643E"/>
    <w:rsid w:val="001F7443"/>
    <w:rsid w:val="001F7549"/>
    <w:rsid w:val="001F76FA"/>
    <w:rsid w:val="001F7A04"/>
    <w:rsid w:val="00201ED7"/>
    <w:rsid w:val="002022D1"/>
    <w:rsid w:val="00203CA8"/>
    <w:rsid w:val="002043C4"/>
    <w:rsid w:val="00204F3E"/>
    <w:rsid w:val="002051C1"/>
    <w:rsid w:val="002068D0"/>
    <w:rsid w:val="00207280"/>
    <w:rsid w:val="00207455"/>
    <w:rsid w:val="002105A6"/>
    <w:rsid w:val="0021145C"/>
    <w:rsid w:val="0021176F"/>
    <w:rsid w:val="00211B0A"/>
    <w:rsid w:val="0021230A"/>
    <w:rsid w:val="0021277B"/>
    <w:rsid w:val="00216EB9"/>
    <w:rsid w:val="0022153F"/>
    <w:rsid w:val="002218CD"/>
    <w:rsid w:val="00221BB7"/>
    <w:rsid w:val="0022358A"/>
    <w:rsid w:val="002238AD"/>
    <w:rsid w:val="00224195"/>
    <w:rsid w:val="00224364"/>
    <w:rsid w:val="0022545C"/>
    <w:rsid w:val="0022571E"/>
    <w:rsid w:val="00225C0E"/>
    <w:rsid w:val="002269B9"/>
    <w:rsid w:val="002270D3"/>
    <w:rsid w:val="00227284"/>
    <w:rsid w:val="00230053"/>
    <w:rsid w:val="0023024B"/>
    <w:rsid w:val="00231190"/>
    <w:rsid w:val="00231B9E"/>
    <w:rsid w:val="002326A4"/>
    <w:rsid w:val="00233244"/>
    <w:rsid w:val="00235231"/>
    <w:rsid w:val="002356F4"/>
    <w:rsid w:val="00236001"/>
    <w:rsid w:val="00236189"/>
    <w:rsid w:val="00236195"/>
    <w:rsid w:val="00241A9A"/>
    <w:rsid w:val="002441B6"/>
    <w:rsid w:val="0024482E"/>
    <w:rsid w:val="00246722"/>
    <w:rsid w:val="00246B17"/>
    <w:rsid w:val="002478CD"/>
    <w:rsid w:val="0025029A"/>
    <w:rsid w:val="002532DB"/>
    <w:rsid w:val="002535AE"/>
    <w:rsid w:val="00253BD7"/>
    <w:rsid w:val="00253C64"/>
    <w:rsid w:val="002540A5"/>
    <w:rsid w:val="00254133"/>
    <w:rsid w:val="0025443B"/>
    <w:rsid w:val="0025545A"/>
    <w:rsid w:val="00257A3E"/>
    <w:rsid w:val="00261612"/>
    <w:rsid w:val="00262559"/>
    <w:rsid w:val="00262603"/>
    <w:rsid w:val="00263D00"/>
    <w:rsid w:val="00263FC8"/>
    <w:rsid w:val="0026615D"/>
    <w:rsid w:val="00267468"/>
    <w:rsid w:val="002706A1"/>
    <w:rsid w:val="00270799"/>
    <w:rsid w:val="0027083E"/>
    <w:rsid w:val="00270BE4"/>
    <w:rsid w:val="00272D3E"/>
    <w:rsid w:val="002741EA"/>
    <w:rsid w:val="002746FD"/>
    <w:rsid w:val="0027476B"/>
    <w:rsid w:val="00276015"/>
    <w:rsid w:val="002768AD"/>
    <w:rsid w:val="0028255F"/>
    <w:rsid w:val="002836A0"/>
    <w:rsid w:val="002843A3"/>
    <w:rsid w:val="0028453B"/>
    <w:rsid w:val="00285A58"/>
    <w:rsid w:val="00287FAC"/>
    <w:rsid w:val="00290196"/>
    <w:rsid w:val="00290566"/>
    <w:rsid w:val="00292B52"/>
    <w:rsid w:val="00294B5C"/>
    <w:rsid w:val="00294D45"/>
    <w:rsid w:val="002969B1"/>
    <w:rsid w:val="002A03E6"/>
    <w:rsid w:val="002A0ABB"/>
    <w:rsid w:val="002A2139"/>
    <w:rsid w:val="002A2BC4"/>
    <w:rsid w:val="002A3DE3"/>
    <w:rsid w:val="002A41DB"/>
    <w:rsid w:val="002A46C4"/>
    <w:rsid w:val="002A5157"/>
    <w:rsid w:val="002A595B"/>
    <w:rsid w:val="002A5D24"/>
    <w:rsid w:val="002B593C"/>
    <w:rsid w:val="002B66EE"/>
    <w:rsid w:val="002B75F6"/>
    <w:rsid w:val="002B7B68"/>
    <w:rsid w:val="002C34F7"/>
    <w:rsid w:val="002C39AE"/>
    <w:rsid w:val="002C3EBF"/>
    <w:rsid w:val="002C4511"/>
    <w:rsid w:val="002C4640"/>
    <w:rsid w:val="002C645C"/>
    <w:rsid w:val="002C6BC1"/>
    <w:rsid w:val="002C73A5"/>
    <w:rsid w:val="002D289A"/>
    <w:rsid w:val="002D4188"/>
    <w:rsid w:val="002D4D4F"/>
    <w:rsid w:val="002D4FBE"/>
    <w:rsid w:val="002D5FD2"/>
    <w:rsid w:val="002D66AE"/>
    <w:rsid w:val="002D6929"/>
    <w:rsid w:val="002D6A74"/>
    <w:rsid w:val="002E16A2"/>
    <w:rsid w:val="002E1B57"/>
    <w:rsid w:val="002E3FBD"/>
    <w:rsid w:val="002E5208"/>
    <w:rsid w:val="002E5692"/>
    <w:rsid w:val="002E57F3"/>
    <w:rsid w:val="002E5902"/>
    <w:rsid w:val="002E596E"/>
    <w:rsid w:val="002E5AA0"/>
    <w:rsid w:val="002E5B69"/>
    <w:rsid w:val="002F3620"/>
    <w:rsid w:val="002F3C04"/>
    <w:rsid w:val="002F607F"/>
    <w:rsid w:val="00300918"/>
    <w:rsid w:val="00301A45"/>
    <w:rsid w:val="00301D35"/>
    <w:rsid w:val="003027BC"/>
    <w:rsid w:val="00302CD9"/>
    <w:rsid w:val="003039A3"/>
    <w:rsid w:val="0030460C"/>
    <w:rsid w:val="00306288"/>
    <w:rsid w:val="003100A2"/>
    <w:rsid w:val="003105CA"/>
    <w:rsid w:val="00310C36"/>
    <w:rsid w:val="0031207C"/>
    <w:rsid w:val="003126D0"/>
    <w:rsid w:val="00312C70"/>
    <w:rsid w:val="00313082"/>
    <w:rsid w:val="00314D84"/>
    <w:rsid w:val="0031610C"/>
    <w:rsid w:val="00316D84"/>
    <w:rsid w:val="00320C9C"/>
    <w:rsid w:val="00320EC5"/>
    <w:rsid w:val="003216F1"/>
    <w:rsid w:val="00323633"/>
    <w:rsid w:val="003246BA"/>
    <w:rsid w:val="00324B75"/>
    <w:rsid w:val="00325FDB"/>
    <w:rsid w:val="003262DE"/>
    <w:rsid w:val="003266AA"/>
    <w:rsid w:val="00326DA1"/>
    <w:rsid w:val="0033095A"/>
    <w:rsid w:val="00330C6C"/>
    <w:rsid w:val="0033120B"/>
    <w:rsid w:val="0033146B"/>
    <w:rsid w:val="00331D0B"/>
    <w:rsid w:val="00335FBC"/>
    <w:rsid w:val="00336895"/>
    <w:rsid w:val="00342DA6"/>
    <w:rsid w:val="00343C28"/>
    <w:rsid w:val="00346182"/>
    <w:rsid w:val="00347176"/>
    <w:rsid w:val="00347438"/>
    <w:rsid w:val="003503BB"/>
    <w:rsid w:val="00351181"/>
    <w:rsid w:val="0035119C"/>
    <w:rsid w:val="00353663"/>
    <w:rsid w:val="00353834"/>
    <w:rsid w:val="003540C8"/>
    <w:rsid w:val="003541DD"/>
    <w:rsid w:val="003547F5"/>
    <w:rsid w:val="0035668D"/>
    <w:rsid w:val="00360A08"/>
    <w:rsid w:val="003625F9"/>
    <w:rsid w:val="00363705"/>
    <w:rsid w:val="003641A4"/>
    <w:rsid w:val="00365584"/>
    <w:rsid w:val="00366A29"/>
    <w:rsid w:val="0037044B"/>
    <w:rsid w:val="00370CCF"/>
    <w:rsid w:val="0037110A"/>
    <w:rsid w:val="00371564"/>
    <w:rsid w:val="0037217C"/>
    <w:rsid w:val="00374836"/>
    <w:rsid w:val="00374F41"/>
    <w:rsid w:val="00375554"/>
    <w:rsid w:val="00376B33"/>
    <w:rsid w:val="00377C29"/>
    <w:rsid w:val="003809B4"/>
    <w:rsid w:val="003815DB"/>
    <w:rsid w:val="00381C21"/>
    <w:rsid w:val="00382774"/>
    <w:rsid w:val="0038281D"/>
    <w:rsid w:val="00384F00"/>
    <w:rsid w:val="00385A0C"/>
    <w:rsid w:val="00386426"/>
    <w:rsid w:val="0038770F"/>
    <w:rsid w:val="00390CAB"/>
    <w:rsid w:val="00390D15"/>
    <w:rsid w:val="00392B80"/>
    <w:rsid w:val="00393638"/>
    <w:rsid w:val="003953F2"/>
    <w:rsid w:val="00396450"/>
    <w:rsid w:val="00396F80"/>
    <w:rsid w:val="003A01EC"/>
    <w:rsid w:val="003A0220"/>
    <w:rsid w:val="003A09D7"/>
    <w:rsid w:val="003A2885"/>
    <w:rsid w:val="003A494C"/>
    <w:rsid w:val="003A7562"/>
    <w:rsid w:val="003A77A1"/>
    <w:rsid w:val="003A7D61"/>
    <w:rsid w:val="003B03D0"/>
    <w:rsid w:val="003B1CDE"/>
    <w:rsid w:val="003B25E0"/>
    <w:rsid w:val="003B2618"/>
    <w:rsid w:val="003B28E8"/>
    <w:rsid w:val="003B30D0"/>
    <w:rsid w:val="003B31B3"/>
    <w:rsid w:val="003B3797"/>
    <w:rsid w:val="003B49A0"/>
    <w:rsid w:val="003B4E4C"/>
    <w:rsid w:val="003B4FF5"/>
    <w:rsid w:val="003B520D"/>
    <w:rsid w:val="003B608E"/>
    <w:rsid w:val="003B6369"/>
    <w:rsid w:val="003C1453"/>
    <w:rsid w:val="003C1F3C"/>
    <w:rsid w:val="003C2493"/>
    <w:rsid w:val="003C3137"/>
    <w:rsid w:val="003C3651"/>
    <w:rsid w:val="003C4954"/>
    <w:rsid w:val="003C4C54"/>
    <w:rsid w:val="003C6C2A"/>
    <w:rsid w:val="003D0393"/>
    <w:rsid w:val="003D0866"/>
    <w:rsid w:val="003D0FA0"/>
    <w:rsid w:val="003D15DA"/>
    <w:rsid w:val="003D2367"/>
    <w:rsid w:val="003D2CB0"/>
    <w:rsid w:val="003D3CE1"/>
    <w:rsid w:val="003D504A"/>
    <w:rsid w:val="003D7147"/>
    <w:rsid w:val="003D7307"/>
    <w:rsid w:val="003D79F2"/>
    <w:rsid w:val="003E1DCB"/>
    <w:rsid w:val="003E246F"/>
    <w:rsid w:val="003E364D"/>
    <w:rsid w:val="003E3CFF"/>
    <w:rsid w:val="003E4077"/>
    <w:rsid w:val="003E4841"/>
    <w:rsid w:val="003E51BE"/>
    <w:rsid w:val="003E7307"/>
    <w:rsid w:val="003E78C3"/>
    <w:rsid w:val="003E7C10"/>
    <w:rsid w:val="003E7DA2"/>
    <w:rsid w:val="003F137D"/>
    <w:rsid w:val="003F1541"/>
    <w:rsid w:val="003F2E16"/>
    <w:rsid w:val="003F3087"/>
    <w:rsid w:val="003F3C4B"/>
    <w:rsid w:val="003F3D7B"/>
    <w:rsid w:val="003F43B8"/>
    <w:rsid w:val="003F4DEA"/>
    <w:rsid w:val="003F4F76"/>
    <w:rsid w:val="003F61B6"/>
    <w:rsid w:val="00400861"/>
    <w:rsid w:val="00401A89"/>
    <w:rsid w:val="004020E3"/>
    <w:rsid w:val="00402B4C"/>
    <w:rsid w:val="00405211"/>
    <w:rsid w:val="00405FEB"/>
    <w:rsid w:val="00406160"/>
    <w:rsid w:val="004072D2"/>
    <w:rsid w:val="00411D82"/>
    <w:rsid w:val="00413D15"/>
    <w:rsid w:val="00414107"/>
    <w:rsid w:val="00414BA2"/>
    <w:rsid w:val="004150A2"/>
    <w:rsid w:val="004156CC"/>
    <w:rsid w:val="00415B7C"/>
    <w:rsid w:val="004176A9"/>
    <w:rsid w:val="00420B90"/>
    <w:rsid w:val="00420FAD"/>
    <w:rsid w:val="00421BED"/>
    <w:rsid w:val="004234A2"/>
    <w:rsid w:val="004234B5"/>
    <w:rsid w:val="00430070"/>
    <w:rsid w:val="004301A8"/>
    <w:rsid w:val="00430EBE"/>
    <w:rsid w:val="00432154"/>
    <w:rsid w:val="00432980"/>
    <w:rsid w:val="00435AE5"/>
    <w:rsid w:val="004364E0"/>
    <w:rsid w:val="00440976"/>
    <w:rsid w:val="00441132"/>
    <w:rsid w:val="00441FC8"/>
    <w:rsid w:val="0044280C"/>
    <w:rsid w:val="00443810"/>
    <w:rsid w:val="00444079"/>
    <w:rsid w:val="00445B92"/>
    <w:rsid w:val="00445DC3"/>
    <w:rsid w:val="00446A72"/>
    <w:rsid w:val="00446E8A"/>
    <w:rsid w:val="00452DB2"/>
    <w:rsid w:val="004545F5"/>
    <w:rsid w:val="00454D03"/>
    <w:rsid w:val="00455A0D"/>
    <w:rsid w:val="00456FD7"/>
    <w:rsid w:val="00460600"/>
    <w:rsid w:val="00462090"/>
    <w:rsid w:val="004633B7"/>
    <w:rsid w:val="00464239"/>
    <w:rsid w:val="00466F24"/>
    <w:rsid w:val="00467C54"/>
    <w:rsid w:val="00470A9B"/>
    <w:rsid w:val="00470B5E"/>
    <w:rsid w:val="00470C39"/>
    <w:rsid w:val="00471FD6"/>
    <w:rsid w:val="0047248C"/>
    <w:rsid w:val="00472E0F"/>
    <w:rsid w:val="00473408"/>
    <w:rsid w:val="0047344C"/>
    <w:rsid w:val="00474B48"/>
    <w:rsid w:val="00476A36"/>
    <w:rsid w:val="0047723C"/>
    <w:rsid w:val="00477A3C"/>
    <w:rsid w:val="00480B45"/>
    <w:rsid w:val="004812C6"/>
    <w:rsid w:val="00482853"/>
    <w:rsid w:val="00482F42"/>
    <w:rsid w:val="0048344E"/>
    <w:rsid w:val="00483760"/>
    <w:rsid w:val="0048391B"/>
    <w:rsid w:val="0048401D"/>
    <w:rsid w:val="004845DE"/>
    <w:rsid w:val="00484788"/>
    <w:rsid w:val="00485A25"/>
    <w:rsid w:val="0048619C"/>
    <w:rsid w:val="00486F5F"/>
    <w:rsid w:val="0049160C"/>
    <w:rsid w:val="00495C5C"/>
    <w:rsid w:val="00496053"/>
    <w:rsid w:val="004A0636"/>
    <w:rsid w:val="004A2B3B"/>
    <w:rsid w:val="004A333A"/>
    <w:rsid w:val="004A3B08"/>
    <w:rsid w:val="004A48DF"/>
    <w:rsid w:val="004A5D78"/>
    <w:rsid w:val="004A6AAB"/>
    <w:rsid w:val="004A7484"/>
    <w:rsid w:val="004B220B"/>
    <w:rsid w:val="004B2E10"/>
    <w:rsid w:val="004B3DD0"/>
    <w:rsid w:val="004B40A3"/>
    <w:rsid w:val="004B412B"/>
    <w:rsid w:val="004B55EB"/>
    <w:rsid w:val="004B66D7"/>
    <w:rsid w:val="004B76F7"/>
    <w:rsid w:val="004C0AF7"/>
    <w:rsid w:val="004C1702"/>
    <w:rsid w:val="004C2195"/>
    <w:rsid w:val="004C37E4"/>
    <w:rsid w:val="004C3DED"/>
    <w:rsid w:val="004C4C46"/>
    <w:rsid w:val="004C4C8B"/>
    <w:rsid w:val="004C515F"/>
    <w:rsid w:val="004C624E"/>
    <w:rsid w:val="004D041E"/>
    <w:rsid w:val="004D0A67"/>
    <w:rsid w:val="004D1DD0"/>
    <w:rsid w:val="004D250E"/>
    <w:rsid w:val="004D2DF2"/>
    <w:rsid w:val="004D3A3F"/>
    <w:rsid w:val="004D45C6"/>
    <w:rsid w:val="004D4ECE"/>
    <w:rsid w:val="004D6643"/>
    <w:rsid w:val="004D75CF"/>
    <w:rsid w:val="004D75FD"/>
    <w:rsid w:val="004E04C2"/>
    <w:rsid w:val="004E1D55"/>
    <w:rsid w:val="004E1DA2"/>
    <w:rsid w:val="004E1DB5"/>
    <w:rsid w:val="004E213D"/>
    <w:rsid w:val="004E2310"/>
    <w:rsid w:val="004E373B"/>
    <w:rsid w:val="004E3769"/>
    <w:rsid w:val="004E56AC"/>
    <w:rsid w:val="004E5A6E"/>
    <w:rsid w:val="004E6669"/>
    <w:rsid w:val="004E6833"/>
    <w:rsid w:val="004F0600"/>
    <w:rsid w:val="004F08ED"/>
    <w:rsid w:val="004F240A"/>
    <w:rsid w:val="004F240F"/>
    <w:rsid w:val="004F2CF9"/>
    <w:rsid w:val="004F4B76"/>
    <w:rsid w:val="004F562D"/>
    <w:rsid w:val="004F56ED"/>
    <w:rsid w:val="004F57F2"/>
    <w:rsid w:val="004F69CA"/>
    <w:rsid w:val="004F7200"/>
    <w:rsid w:val="0050228A"/>
    <w:rsid w:val="005034F8"/>
    <w:rsid w:val="005043FD"/>
    <w:rsid w:val="00505AA6"/>
    <w:rsid w:val="00505CA3"/>
    <w:rsid w:val="005062D9"/>
    <w:rsid w:val="005065AE"/>
    <w:rsid w:val="00506755"/>
    <w:rsid w:val="005069C5"/>
    <w:rsid w:val="00506CB2"/>
    <w:rsid w:val="0050704C"/>
    <w:rsid w:val="0051031A"/>
    <w:rsid w:val="00510422"/>
    <w:rsid w:val="00510559"/>
    <w:rsid w:val="00510FE1"/>
    <w:rsid w:val="00512E27"/>
    <w:rsid w:val="00513524"/>
    <w:rsid w:val="0051374E"/>
    <w:rsid w:val="005137A0"/>
    <w:rsid w:val="005141A6"/>
    <w:rsid w:val="00515311"/>
    <w:rsid w:val="0051532A"/>
    <w:rsid w:val="0051561D"/>
    <w:rsid w:val="00516BE4"/>
    <w:rsid w:val="0052011B"/>
    <w:rsid w:val="005202CB"/>
    <w:rsid w:val="00521B35"/>
    <w:rsid w:val="00522371"/>
    <w:rsid w:val="0052267E"/>
    <w:rsid w:val="00524563"/>
    <w:rsid w:val="00524C72"/>
    <w:rsid w:val="00524FFC"/>
    <w:rsid w:val="00525661"/>
    <w:rsid w:val="005259E7"/>
    <w:rsid w:val="00527F58"/>
    <w:rsid w:val="00530210"/>
    <w:rsid w:val="005302D7"/>
    <w:rsid w:val="005308AB"/>
    <w:rsid w:val="0053139B"/>
    <w:rsid w:val="0053352A"/>
    <w:rsid w:val="00535C76"/>
    <w:rsid w:val="00536081"/>
    <w:rsid w:val="00536A9D"/>
    <w:rsid w:val="005374C3"/>
    <w:rsid w:val="00540751"/>
    <w:rsid w:val="00540889"/>
    <w:rsid w:val="00540A37"/>
    <w:rsid w:val="00542A5D"/>
    <w:rsid w:val="00544254"/>
    <w:rsid w:val="00544303"/>
    <w:rsid w:val="00544A19"/>
    <w:rsid w:val="00545648"/>
    <w:rsid w:val="00545A43"/>
    <w:rsid w:val="00545D9D"/>
    <w:rsid w:val="005473A0"/>
    <w:rsid w:val="00547957"/>
    <w:rsid w:val="00547BCB"/>
    <w:rsid w:val="00551A74"/>
    <w:rsid w:val="00552589"/>
    <w:rsid w:val="00554019"/>
    <w:rsid w:val="0055551B"/>
    <w:rsid w:val="00555826"/>
    <w:rsid w:val="00555A8E"/>
    <w:rsid w:val="00557600"/>
    <w:rsid w:val="00557C63"/>
    <w:rsid w:val="00561535"/>
    <w:rsid w:val="00561D09"/>
    <w:rsid w:val="0056277D"/>
    <w:rsid w:val="00562E9B"/>
    <w:rsid w:val="0056360C"/>
    <w:rsid w:val="005642B2"/>
    <w:rsid w:val="00566946"/>
    <w:rsid w:val="00567477"/>
    <w:rsid w:val="0057173E"/>
    <w:rsid w:val="00571BCD"/>
    <w:rsid w:val="00571C30"/>
    <w:rsid w:val="0057212A"/>
    <w:rsid w:val="00572181"/>
    <w:rsid w:val="005725AE"/>
    <w:rsid w:val="00573339"/>
    <w:rsid w:val="00574E74"/>
    <w:rsid w:val="0057644D"/>
    <w:rsid w:val="0057756B"/>
    <w:rsid w:val="0058189B"/>
    <w:rsid w:val="005846C9"/>
    <w:rsid w:val="00585690"/>
    <w:rsid w:val="005867C4"/>
    <w:rsid w:val="005931EB"/>
    <w:rsid w:val="005936E3"/>
    <w:rsid w:val="00594C50"/>
    <w:rsid w:val="00594D07"/>
    <w:rsid w:val="00594E94"/>
    <w:rsid w:val="0059531B"/>
    <w:rsid w:val="00596219"/>
    <w:rsid w:val="00596A36"/>
    <w:rsid w:val="005978B1"/>
    <w:rsid w:val="005978D8"/>
    <w:rsid w:val="005A082D"/>
    <w:rsid w:val="005A0A98"/>
    <w:rsid w:val="005A0AA3"/>
    <w:rsid w:val="005A213E"/>
    <w:rsid w:val="005A2A72"/>
    <w:rsid w:val="005A3448"/>
    <w:rsid w:val="005A39FF"/>
    <w:rsid w:val="005A50DD"/>
    <w:rsid w:val="005A5CB1"/>
    <w:rsid w:val="005A6090"/>
    <w:rsid w:val="005A63A4"/>
    <w:rsid w:val="005A673E"/>
    <w:rsid w:val="005A6771"/>
    <w:rsid w:val="005A6B28"/>
    <w:rsid w:val="005A6B74"/>
    <w:rsid w:val="005A6EB6"/>
    <w:rsid w:val="005B0B61"/>
    <w:rsid w:val="005B1093"/>
    <w:rsid w:val="005B1E96"/>
    <w:rsid w:val="005B1ECD"/>
    <w:rsid w:val="005B2BF8"/>
    <w:rsid w:val="005B3955"/>
    <w:rsid w:val="005B41CD"/>
    <w:rsid w:val="005B4F79"/>
    <w:rsid w:val="005B5F38"/>
    <w:rsid w:val="005C03A3"/>
    <w:rsid w:val="005C0BE0"/>
    <w:rsid w:val="005C1E27"/>
    <w:rsid w:val="005C2938"/>
    <w:rsid w:val="005C33D1"/>
    <w:rsid w:val="005C3BA7"/>
    <w:rsid w:val="005C3D53"/>
    <w:rsid w:val="005C3F00"/>
    <w:rsid w:val="005C408B"/>
    <w:rsid w:val="005C7642"/>
    <w:rsid w:val="005C7661"/>
    <w:rsid w:val="005D312C"/>
    <w:rsid w:val="005D3505"/>
    <w:rsid w:val="005D5441"/>
    <w:rsid w:val="005D6647"/>
    <w:rsid w:val="005D6740"/>
    <w:rsid w:val="005D76D2"/>
    <w:rsid w:val="005E0397"/>
    <w:rsid w:val="005E207D"/>
    <w:rsid w:val="005E2F52"/>
    <w:rsid w:val="005E350C"/>
    <w:rsid w:val="005E3905"/>
    <w:rsid w:val="005E4E85"/>
    <w:rsid w:val="005E51C8"/>
    <w:rsid w:val="005E6F54"/>
    <w:rsid w:val="005F0262"/>
    <w:rsid w:val="005F0764"/>
    <w:rsid w:val="005F0B8A"/>
    <w:rsid w:val="005F0F14"/>
    <w:rsid w:val="005F2D62"/>
    <w:rsid w:val="005F35BE"/>
    <w:rsid w:val="005F3742"/>
    <w:rsid w:val="005F3D68"/>
    <w:rsid w:val="005F634A"/>
    <w:rsid w:val="005F678A"/>
    <w:rsid w:val="005F6E1F"/>
    <w:rsid w:val="005F7339"/>
    <w:rsid w:val="005F79F7"/>
    <w:rsid w:val="006014A2"/>
    <w:rsid w:val="00603553"/>
    <w:rsid w:val="0060421C"/>
    <w:rsid w:val="00604A4D"/>
    <w:rsid w:val="006052E2"/>
    <w:rsid w:val="00607854"/>
    <w:rsid w:val="006079A8"/>
    <w:rsid w:val="006101B2"/>
    <w:rsid w:val="00611006"/>
    <w:rsid w:val="006113E8"/>
    <w:rsid w:val="00611F75"/>
    <w:rsid w:val="00612178"/>
    <w:rsid w:val="006125BF"/>
    <w:rsid w:val="00612A9C"/>
    <w:rsid w:val="00612EF1"/>
    <w:rsid w:val="00613AAD"/>
    <w:rsid w:val="00614684"/>
    <w:rsid w:val="006157FA"/>
    <w:rsid w:val="00616505"/>
    <w:rsid w:val="006212F0"/>
    <w:rsid w:val="00621C72"/>
    <w:rsid w:val="0062213C"/>
    <w:rsid w:val="00622D46"/>
    <w:rsid w:val="006239EA"/>
    <w:rsid w:val="00624C6D"/>
    <w:rsid w:val="00624CF0"/>
    <w:rsid w:val="00624F8A"/>
    <w:rsid w:val="006277E0"/>
    <w:rsid w:val="00627CEA"/>
    <w:rsid w:val="006305E2"/>
    <w:rsid w:val="00630927"/>
    <w:rsid w:val="006310E2"/>
    <w:rsid w:val="00631B8A"/>
    <w:rsid w:val="0063265B"/>
    <w:rsid w:val="00633F40"/>
    <w:rsid w:val="006347BF"/>
    <w:rsid w:val="00635C3E"/>
    <w:rsid w:val="00635F93"/>
    <w:rsid w:val="00636465"/>
    <w:rsid w:val="00636B3E"/>
    <w:rsid w:val="006373DA"/>
    <w:rsid w:val="00637AB9"/>
    <w:rsid w:val="006406E3"/>
    <w:rsid w:val="0064099C"/>
    <w:rsid w:val="00640D94"/>
    <w:rsid w:val="006425D1"/>
    <w:rsid w:val="00644298"/>
    <w:rsid w:val="0064565E"/>
    <w:rsid w:val="006467CB"/>
    <w:rsid w:val="00650689"/>
    <w:rsid w:val="00650F8F"/>
    <w:rsid w:val="00651854"/>
    <w:rsid w:val="00652437"/>
    <w:rsid w:val="00652CD2"/>
    <w:rsid w:val="006549AD"/>
    <w:rsid w:val="00655112"/>
    <w:rsid w:val="00655290"/>
    <w:rsid w:val="00655A8A"/>
    <w:rsid w:val="0065798D"/>
    <w:rsid w:val="00657D40"/>
    <w:rsid w:val="00657F70"/>
    <w:rsid w:val="00660B21"/>
    <w:rsid w:val="00660F4D"/>
    <w:rsid w:val="00663C28"/>
    <w:rsid w:val="00665D8C"/>
    <w:rsid w:val="00666763"/>
    <w:rsid w:val="0067043E"/>
    <w:rsid w:val="0067130C"/>
    <w:rsid w:val="006717CF"/>
    <w:rsid w:val="00673434"/>
    <w:rsid w:val="006752D6"/>
    <w:rsid w:val="00675BDE"/>
    <w:rsid w:val="006770CF"/>
    <w:rsid w:val="00680C8E"/>
    <w:rsid w:val="00683DD1"/>
    <w:rsid w:val="00683E82"/>
    <w:rsid w:val="00684D9C"/>
    <w:rsid w:val="00686872"/>
    <w:rsid w:val="00687698"/>
    <w:rsid w:val="00690411"/>
    <w:rsid w:val="006911CE"/>
    <w:rsid w:val="0069250B"/>
    <w:rsid w:val="00696081"/>
    <w:rsid w:val="00696272"/>
    <w:rsid w:val="00696EC0"/>
    <w:rsid w:val="0069720F"/>
    <w:rsid w:val="00697C51"/>
    <w:rsid w:val="006A00C2"/>
    <w:rsid w:val="006A113E"/>
    <w:rsid w:val="006A4E2D"/>
    <w:rsid w:val="006A56D2"/>
    <w:rsid w:val="006A676F"/>
    <w:rsid w:val="006A69E9"/>
    <w:rsid w:val="006A71C0"/>
    <w:rsid w:val="006A7FD6"/>
    <w:rsid w:val="006B04AF"/>
    <w:rsid w:val="006B3078"/>
    <w:rsid w:val="006B3A08"/>
    <w:rsid w:val="006B5073"/>
    <w:rsid w:val="006B6883"/>
    <w:rsid w:val="006C03B0"/>
    <w:rsid w:val="006C2661"/>
    <w:rsid w:val="006C42A0"/>
    <w:rsid w:val="006C56B1"/>
    <w:rsid w:val="006C5E0C"/>
    <w:rsid w:val="006C61C4"/>
    <w:rsid w:val="006C6756"/>
    <w:rsid w:val="006C6F32"/>
    <w:rsid w:val="006C7118"/>
    <w:rsid w:val="006C7176"/>
    <w:rsid w:val="006C7E45"/>
    <w:rsid w:val="006D1B57"/>
    <w:rsid w:val="006D2D34"/>
    <w:rsid w:val="006D4337"/>
    <w:rsid w:val="006D5FAB"/>
    <w:rsid w:val="006E0EAF"/>
    <w:rsid w:val="006E1DB3"/>
    <w:rsid w:val="006E2AC4"/>
    <w:rsid w:val="006E330F"/>
    <w:rsid w:val="006E539A"/>
    <w:rsid w:val="006E5D4D"/>
    <w:rsid w:val="006E6609"/>
    <w:rsid w:val="006E7AB5"/>
    <w:rsid w:val="006F01FB"/>
    <w:rsid w:val="006F1EB0"/>
    <w:rsid w:val="006F25E2"/>
    <w:rsid w:val="006F2975"/>
    <w:rsid w:val="006F29E2"/>
    <w:rsid w:val="006F30BB"/>
    <w:rsid w:val="006F4A98"/>
    <w:rsid w:val="006F6158"/>
    <w:rsid w:val="006F6467"/>
    <w:rsid w:val="006F688A"/>
    <w:rsid w:val="006F6A7D"/>
    <w:rsid w:val="00700668"/>
    <w:rsid w:val="00701ED6"/>
    <w:rsid w:val="00701FDC"/>
    <w:rsid w:val="007021F5"/>
    <w:rsid w:val="00702CBB"/>
    <w:rsid w:val="0070483A"/>
    <w:rsid w:val="00704B45"/>
    <w:rsid w:val="00705A56"/>
    <w:rsid w:val="00705BD3"/>
    <w:rsid w:val="007109D0"/>
    <w:rsid w:val="00711B33"/>
    <w:rsid w:val="00714203"/>
    <w:rsid w:val="007147E6"/>
    <w:rsid w:val="00715C04"/>
    <w:rsid w:val="007169A9"/>
    <w:rsid w:val="0071711C"/>
    <w:rsid w:val="00717B99"/>
    <w:rsid w:val="007215C6"/>
    <w:rsid w:val="00721746"/>
    <w:rsid w:val="00721DDD"/>
    <w:rsid w:val="007229A4"/>
    <w:rsid w:val="00723156"/>
    <w:rsid w:val="007231EE"/>
    <w:rsid w:val="007234AC"/>
    <w:rsid w:val="00725908"/>
    <w:rsid w:val="007277EE"/>
    <w:rsid w:val="00727A73"/>
    <w:rsid w:val="00727B5C"/>
    <w:rsid w:val="00730344"/>
    <w:rsid w:val="007312A0"/>
    <w:rsid w:val="007313C5"/>
    <w:rsid w:val="00731F81"/>
    <w:rsid w:val="007333A8"/>
    <w:rsid w:val="00733C36"/>
    <w:rsid w:val="00734521"/>
    <w:rsid w:val="007345CC"/>
    <w:rsid w:val="007366D5"/>
    <w:rsid w:val="00736D87"/>
    <w:rsid w:val="0073705F"/>
    <w:rsid w:val="0073799D"/>
    <w:rsid w:val="0074124D"/>
    <w:rsid w:val="00741B1F"/>
    <w:rsid w:val="00743313"/>
    <w:rsid w:val="007439D7"/>
    <w:rsid w:val="007446DB"/>
    <w:rsid w:val="00744F4F"/>
    <w:rsid w:val="00745298"/>
    <w:rsid w:val="0074697C"/>
    <w:rsid w:val="00746E63"/>
    <w:rsid w:val="00747809"/>
    <w:rsid w:val="0075035F"/>
    <w:rsid w:val="00750418"/>
    <w:rsid w:val="00751AF4"/>
    <w:rsid w:val="007534E8"/>
    <w:rsid w:val="00754132"/>
    <w:rsid w:val="0075445D"/>
    <w:rsid w:val="00755726"/>
    <w:rsid w:val="0075579C"/>
    <w:rsid w:val="00757083"/>
    <w:rsid w:val="00757C8B"/>
    <w:rsid w:val="007605C4"/>
    <w:rsid w:val="007617EA"/>
    <w:rsid w:val="0076202E"/>
    <w:rsid w:val="00762723"/>
    <w:rsid w:val="00762DA7"/>
    <w:rsid w:val="00762FE3"/>
    <w:rsid w:val="0076322D"/>
    <w:rsid w:val="00763532"/>
    <w:rsid w:val="007636E2"/>
    <w:rsid w:val="00763B67"/>
    <w:rsid w:val="00763C49"/>
    <w:rsid w:val="0076407B"/>
    <w:rsid w:val="0076528F"/>
    <w:rsid w:val="00765AA2"/>
    <w:rsid w:val="00765F42"/>
    <w:rsid w:val="0076642D"/>
    <w:rsid w:val="00766684"/>
    <w:rsid w:val="007670B0"/>
    <w:rsid w:val="007670DA"/>
    <w:rsid w:val="007679AD"/>
    <w:rsid w:val="00767B26"/>
    <w:rsid w:val="0077146B"/>
    <w:rsid w:val="0077192C"/>
    <w:rsid w:val="007747E4"/>
    <w:rsid w:val="007754DD"/>
    <w:rsid w:val="00775CE9"/>
    <w:rsid w:val="00775DD6"/>
    <w:rsid w:val="00776315"/>
    <w:rsid w:val="0077663F"/>
    <w:rsid w:val="007766AC"/>
    <w:rsid w:val="00776AF0"/>
    <w:rsid w:val="00777A99"/>
    <w:rsid w:val="007800ED"/>
    <w:rsid w:val="00781B4E"/>
    <w:rsid w:val="007829A4"/>
    <w:rsid w:val="007832D4"/>
    <w:rsid w:val="00783AE1"/>
    <w:rsid w:val="00783B3E"/>
    <w:rsid w:val="0079365F"/>
    <w:rsid w:val="007949E4"/>
    <w:rsid w:val="007A6DF8"/>
    <w:rsid w:val="007A7201"/>
    <w:rsid w:val="007A75D0"/>
    <w:rsid w:val="007A7E81"/>
    <w:rsid w:val="007B132F"/>
    <w:rsid w:val="007B191D"/>
    <w:rsid w:val="007B407B"/>
    <w:rsid w:val="007B412F"/>
    <w:rsid w:val="007B53EC"/>
    <w:rsid w:val="007B5BD5"/>
    <w:rsid w:val="007B5F82"/>
    <w:rsid w:val="007B668B"/>
    <w:rsid w:val="007B69BC"/>
    <w:rsid w:val="007B769F"/>
    <w:rsid w:val="007B7BCC"/>
    <w:rsid w:val="007B7E64"/>
    <w:rsid w:val="007C0C88"/>
    <w:rsid w:val="007C27FF"/>
    <w:rsid w:val="007C3AA8"/>
    <w:rsid w:val="007C3E5E"/>
    <w:rsid w:val="007C4641"/>
    <w:rsid w:val="007C46B2"/>
    <w:rsid w:val="007C4CB3"/>
    <w:rsid w:val="007C7028"/>
    <w:rsid w:val="007C73D6"/>
    <w:rsid w:val="007C7FDC"/>
    <w:rsid w:val="007D042F"/>
    <w:rsid w:val="007D05EF"/>
    <w:rsid w:val="007D16FD"/>
    <w:rsid w:val="007D47F3"/>
    <w:rsid w:val="007D51A8"/>
    <w:rsid w:val="007D51DC"/>
    <w:rsid w:val="007D55BC"/>
    <w:rsid w:val="007D6936"/>
    <w:rsid w:val="007D6CAD"/>
    <w:rsid w:val="007D7E17"/>
    <w:rsid w:val="007D7FB0"/>
    <w:rsid w:val="007E0107"/>
    <w:rsid w:val="007E10FE"/>
    <w:rsid w:val="007E1107"/>
    <w:rsid w:val="007E36A8"/>
    <w:rsid w:val="007E47AD"/>
    <w:rsid w:val="007E5579"/>
    <w:rsid w:val="007E7499"/>
    <w:rsid w:val="007F3FDB"/>
    <w:rsid w:val="007F55D9"/>
    <w:rsid w:val="007F7B3F"/>
    <w:rsid w:val="00800D70"/>
    <w:rsid w:val="00802EAC"/>
    <w:rsid w:val="0080564F"/>
    <w:rsid w:val="00806784"/>
    <w:rsid w:val="00807080"/>
    <w:rsid w:val="008107D4"/>
    <w:rsid w:val="0081111C"/>
    <w:rsid w:val="0081137A"/>
    <w:rsid w:val="00812707"/>
    <w:rsid w:val="008128F0"/>
    <w:rsid w:val="00816D97"/>
    <w:rsid w:val="00817C3E"/>
    <w:rsid w:val="00817F48"/>
    <w:rsid w:val="00820383"/>
    <w:rsid w:val="008203B2"/>
    <w:rsid w:val="00820607"/>
    <w:rsid w:val="008212B0"/>
    <w:rsid w:val="00822D0C"/>
    <w:rsid w:val="0082457B"/>
    <w:rsid w:val="00825267"/>
    <w:rsid w:val="00825856"/>
    <w:rsid w:val="008258B7"/>
    <w:rsid w:val="00826005"/>
    <w:rsid w:val="00826FC9"/>
    <w:rsid w:val="00827AA0"/>
    <w:rsid w:val="008311EB"/>
    <w:rsid w:val="008316D0"/>
    <w:rsid w:val="008321CF"/>
    <w:rsid w:val="00833233"/>
    <w:rsid w:val="00833249"/>
    <w:rsid w:val="00833D70"/>
    <w:rsid w:val="008344C5"/>
    <w:rsid w:val="00835B18"/>
    <w:rsid w:val="008407BD"/>
    <w:rsid w:val="00841471"/>
    <w:rsid w:val="00841499"/>
    <w:rsid w:val="008419E1"/>
    <w:rsid w:val="00842861"/>
    <w:rsid w:val="00842F4C"/>
    <w:rsid w:val="00844CA6"/>
    <w:rsid w:val="00844E5A"/>
    <w:rsid w:val="008460B7"/>
    <w:rsid w:val="00846401"/>
    <w:rsid w:val="008470AE"/>
    <w:rsid w:val="00850C6F"/>
    <w:rsid w:val="0085245A"/>
    <w:rsid w:val="008543AD"/>
    <w:rsid w:val="00857B84"/>
    <w:rsid w:val="008601A6"/>
    <w:rsid w:val="008611A9"/>
    <w:rsid w:val="0086225D"/>
    <w:rsid w:val="00862947"/>
    <w:rsid w:val="00862F2E"/>
    <w:rsid w:val="00862F90"/>
    <w:rsid w:val="00865230"/>
    <w:rsid w:val="008658E3"/>
    <w:rsid w:val="00866964"/>
    <w:rsid w:val="008707E9"/>
    <w:rsid w:val="00870D5F"/>
    <w:rsid w:val="00871EA8"/>
    <w:rsid w:val="008720D0"/>
    <w:rsid w:val="008726BF"/>
    <w:rsid w:val="00872965"/>
    <w:rsid w:val="008739E6"/>
    <w:rsid w:val="0087514E"/>
    <w:rsid w:val="008755CA"/>
    <w:rsid w:val="00875BA4"/>
    <w:rsid w:val="00876D2C"/>
    <w:rsid w:val="0087733E"/>
    <w:rsid w:val="00880463"/>
    <w:rsid w:val="0088361F"/>
    <w:rsid w:val="008861C0"/>
    <w:rsid w:val="00886ECD"/>
    <w:rsid w:val="00887FB3"/>
    <w:rsid w:val="00890980"/>
    <w:rsid w:val="00892E0A"/>
    <w:rsid w:val="008959FD"/>
    <w:rsid w:val="00896187"/>
    <w:rsid w:val="00896F5E"/>
    <w:rsid w:val="00897DF6"/>
    <w:rsid w:val="008A0805"/>
    <w:rsid w:val="008A130B"/>
    <w:rsid w:val="008A1C22"/>
    <w:rsid w:val="008A1E1C"/>
    <w:rsid w:val="008A2EC0"/>
    <w:rsid w:val="008A32DE"/>
    <w:rsid w:val="008A3926"/>
    <w:rsid w:val="008A3EB6"/>
    <w:rsid w:val="008A3FCC"/>
    <w:rsid w:val="008A5553"/>
    <w:rsid w:val="008A596D"/>
    <w:rsid w:val="008A6B43"/>
    <w:rsid w:val="008A6BF7"/>
    <w:rsid w:val="008B079B"/>
    <w:rsid w:val="008B0CB5"/>
    <w:rsid w:val="008B0FDB"/>
    <w:rsid w:val="008B18F8"/>
    <w:rsid w:val="008B2AFE"/>
    <w:rsid w:val="008B309B"/>
    <w:rsid w:val="008B52B0"/>
    <w:rsid w:val="008B5DD6"/>
    <w:rsid w:val="008B65A1"/>
    <w:rsid w:val="008B7F56"/>
    <w:rsid w:val="008C0062"/>
    <w:rsid w:val="008C0E00"/>
    <w:rsid w:val="008C2C9F"/>
    <w:rsid w:val="008C2E78"/>
    <w:rsid w:val="008C2EF1"/>
    <w:rsid w:val="008C33B1"/>
    <w:rsid w:val="008C3518"/>
    <w:rsid w:val="008C4152"/>
    <w:rsid w:val="008C7065"/>
    <w:rsid w:val="008D0279"/>
    <w:rsid w:val="008D12B0"/>
    <w:rsid w:val="008D429C"/>
    <w:rsid w:val="008D7BD9"/>
    <w:rsid w:val="008E0623"/>
    <w:rsid w:val="008E142E"/>
    <w:rsid w:val="008E143B"/>
    <w:rsid w:val="008E1567"/>
    <w:rsid w:val="008E3535"/>
    <w:rsid w:val="008E361C"/>
    <w:rsid w:val="008E4099"/>
    <w:rsid w:val="008E473A"/>
    <w:rsid w:val="008E5C2D"/>
    <w:rsid w:val="008E5C9A"/>
    <w:rsid w:val="008E7779"/>
    <w:rsid w:val="008E7805"/>
    <w:rsid w:val="008F13D0"/>
    <w:rsid w:val="008F187B"/>
    <w:rsid w:val="008F213D"/>
    <w:rsid w:val="008F34DB"/>
    <w:rsid w:val="008F3C37"/>
    <w:rsid w:val="008F56AF"/>
    <w:rsid w:val="008F5BAB"/>
    <w:rsid w:val="008F5FAF"/>
    <w:rsid w:val="008F677A"/>
    <w:rsid w:val="008F7BD0"/>
    <w:rsid w:val="0090613F"/>
    <w:rsid w:val="0090726A"/>
    <w:rsid w:val="009131C6"/>
    <w:rsid w:val="00913371"/>
    <w:rsid w:val="00914564"/>
    <w:rsid w:val="009163D4"/>
    <w:rsid w:val="009169C4"/>
    <w:rsid w:val="00917ABD"/>
    <w:rsid w:val="009215D9"/>
    <w:rsid w:val="00922144"/>
    <w:rsid w:val="009226A7"/>
    <w:rsid w:val="009229CB"/>
    <w:rsid w:val="009247EB"/>
    <w:rsid w:val="00924AD4"/>
    <w:rsid w:val="009250C9"/>
    <w:rsid w:val="00925931"/>
    <w:rsid w:val="00925CA0"/>
    <w:rsid w:val="00925D73"/>
    <w:rsid w:val="00926394"/>
    <w:rsid w:val="00926397"/>
    <w:rsid w:val="009266C8"/>
    <w:rsid w:val="00926991"/>
    <w:rsid w:val="00930B5E"/>
    <w:rsid w:val="0093135E"/>
    <w:rsid w:val="00931681"/>
    <w:rsid w:val="009319B1"/>
    <w:rsid w:val="0093274E"/>
    <w:rsid w:val="00933DAD"/>
    <w:rsid w:val="009371D4"/>
    <w:rsid w:val="00937AE2"/>
    <w:rsid w:val="0094041A"/>
    <w:rsid w:val="00940569"/>
    <w:rsid w:val="00941E06"/>
    <w:rsid w:val="009433B3"/>
    <w:rsid w:val="009436F1"/>
    <w:rsid w:val="009459D1"/>
    <w:rsid w:val="00945DEA"/>
    <w:rsid w:val="00946240"/>
    <w:rsid w:val="0094638A"/>
    <w:rsid w:val="009468A9"/>
    <w:rsid w:val="00946EF6"/>
    <w:rsid w:val="0094750E"/>
    <w:rsid w:val="0094766F"/>
    <w:rsid w:val="00950F13"/>
    <w:rsid w:val="009511CF"/>
    <w:rsid w:val="009514DD"/>
    <w:rsid w:val="009526E9"/>
    <w:rsid w:val="00952F37"/>
    <w:rsid w:val="00954716"/>
    <w:rsid w:val="00954CF3"/>
    <w:rsid w:val="0095533F"/>
    <w:rsid w:val="009555B7"/>
    <w:rsid w:val="0095585C"/>
    <w:rsid w:val="00955E48"/>
    <w:rsid w:val="009566FC"/>
    <w:rsid w:val="00956A91"/>
    <w:rsid w:val="00956B92"/>
    <w:rsid w:val="00960380"/>
    <w:rsid w:val="009604D8"/>
    <w:rsid w:val="0096066F"/>
    <w:rsid w:val="00960F8B"/>
    <w:rsid w:val="009611C3"/>
    <w:rsid w:val="009612DE"/>
    <w:rsid w:val="00961C58"/>
    <w:rsid w:val="0096235C"/>
    <w:rsid w:val="00962BB9"/>
    <w:rsid w:val="00963425"/>
    <w:rsid w:val="00963D05"/>
    <w:rsid w:val="00963FBD"/>
    <w:rsid w:val="00964D69"/>
    <w:rsid w:val="0096579F"/>
    <w:rsid w:val="00965B48"/>
    <w:rsid w:val="00966EF1"/>
    <w:rsid w:val="00967599"/>
    <w:rsid w:val="009675F7"/>
    <w:rsid w:val="0096792D"/>
    <w:rsid w:val="00970076"/>
    <w:rsid w:val="009705D9"/>
    <w:rsid w:val="00970ECC"/>
    <w:rsid w:val="00973F51"/>
    <w:rsid w:val="00974315"/>
    <w:rsid w:val="009747B5"/>
    <w:rsid w:val="00975D15"/>
    <w:rsid w:val="00976FE2"/>
    <w:rsid w:val="00977971"/>
    <w:rsid w:val="00980A1F"/>
    <w:rsid w:val="00982F95"/>
    <w:rsid w:val="00984668"/>
    <w:rsid w:val="009868DA"/>
    <w:rsid w:val="00987380"/>
    <w:rsid w:val="009877CA"/>
    <w:rsid w:val="009919DD"/>
    <w:rsid w:val="00992C11"/>
    <w:rsid w:val="0099302A"/>
    <w:rsid w:val="00993203"/>
    <w:rsid w:val="009978C3"/>
    <w:rsid w:val="009A0275"/>
    <w:rsid w:val="009A2517"/>
    <w:rsid w:val="009A3164"/>
    <w:rsid w:val="009A327D"/>
    <w:rsid w:val="009A3F4F"/>
    <w:rsid w:val="009A55C4"/>
    <w:rsid w:val="009A6931"/>
    <w:rsid w:val="009A6CBC"/>
    <w:rsid w:val="009A6DDA"/>
    <w:rsid w:val="009A7DF0"/>
    <w:rsid w:val="009B0D09"/>
    <w:rsid w:val="009B164F"/>
    <w:rsid w:val="009B320F"/>
    <w:rsid w:val="009B3B1E"/>
    <w:rsid w:val="009B42D4"/>
    <w:rsid w:val="009B5D76"/>
    <w:rsid w:val="009B6C51"/>
    <w:rsid w:val="009B7374"/>
    <w:rsid w:val="009B7A33"/>
    <w:rsid w:val="009B7EB7"/>
    <w:rsid w:val="009C1209"/>
    <w:rsid w:val="009C4108"/>
    <w:rsid w:val="009C4970"/>
    <w:rsid w:val="009C7066"/>
    <w:rsid w:val="009C7F68"/>
    <w:rsid w:val="009D0639"/>
    <w:rsid w:val="009D1F5A"/>
    <w:rsid w:val="009D3456"/>
    <w:rsid w:val="009D34A7"/>
    <w:rsid w:val="009D5B5B"/>
    <w:rsid w:val="009D67E8"/>
    <w:rsid w:val="009E19B8"/>
    <w:rsid w:val="009E253B"/>
    <w:rsid w:val="009E2D93"/>
    <w:rsid w:val="009E3046"/>
    <w:rsid w:val="009E4333"/>
    <w:rsid w:val="009E4603"/>
    <w:rsid w:val="009E5D48"/>
    <w:rsid w:val="009E6C81"/>
    <w:rsid w:val="009F2358"/>
    <w:rsid w:val="009F4AC6"/>
    <w:rsid w:val="009F4D75"/>
    <w:rsid w:val="009F50C0"/>
    <w:rsid w:val="009F5D7A"/>
    <w:rsid w:val="009F7C83"/>
    <w:rsid w:val="00A002C0"/>
    <w:rsid w:val="00A00601"/>
    <w:rsid w:val="00A00F02"/>
    <w:rsid w:val="00A02270"/>
    <w:rsid w:val="00A02B96"/>
    <w:rsid w:val="00A02C14"/>
    <w:rsid w:val="00A02EC7"/>
    <w:rsid w:val="00A03BD0"/>
    <w:rsid w:val="00A03EF1"/>
    <w:rsid w:val="00A042FC"/>
    <w:rsid w:val="00A04D47"/>
    <w:rsid w:val="00A06336"/>
    <w:rsid w:val="00A06D5A"/>
    <w:rsid w:val="00A06D7C"/>
    <w:rsid w:val="00A06EBA"/>
    <w:rsid w:val="00A06F00"/>
    <w:rsid w:val="00A0766C"/>
    <w:rsid w:val="00A11C0D"/>
    <w:rsid w:val="00A12568"/>
    <w:rsid w:val="00A12D0F"/>
    <w:rsid w:val="00A13570"/>
    <w:rsid w:val="00A1366B"/>
    <w:rsid w:val="00A13988"/>
    <w:rsid w:val="00A14E51"/>
    <w:rsid w:val="00A152BD"/>
    <w:rsid w:val="00A1686F"/>
    <w:rsid w:val="00A218D0"/>
    <w:rsid w:val="00A21A1D"/>
    <w:rsid w:val="00A22589"/>
    <w:rsid w:val="00A225AD"/>
    <w:rsid w:val="00A22B57"/>
    <w:rsid w:val="00A23A43"/>
    <w:rsid w:val="00A23DA1"/>
    <w:rsid w:val="00A26DDF"/>
    <w:rsid w:val="00A27E18"/>
    <w:rsid w:val="00A30049"/>
    <w:rsid w:val="00A3121B"/>
    <w:rsid w:val="00A320E0"/>
    <w:rsid w:val="00A33521"/>
    <w:rsid w:val="00A336FA"/>
    <w:rsid w:val="00A3573B"/>
    <w:rsid w:val="00A35AEE"/>
    <w:rsid w:val="00A35D4C"/>
    <w:rsid w:val="00A413B0"/>
    <w:rsid w:val="00A4150A"/>
    <w:rsid w:val="00A42686"/>
    <w:rsid w:val="00A431AA"/>
    <w:rsid w:val="00A43754"/>
    <w:rsid w:val="00A44529"/>
    <w:rsid w:val="00A44DE5"/>
    <w:rsid w:val="00A44F53"/>
    <w:rsid w:val="00A452EC"/>
    <w:rsid w:val="00A45767"/>
    <w:rsid w:val="00A45C2B"/>
    <w:rsid w:val="00A4615F"/>
    <w:rsid w:val="00A476FE"/>
    <w:rsid w:val="00A50F31"/>
    <w:rsid w:val="00A52308"/>
    <w:rsid w:val="00A52E8A"/>
    <w:rsid w:val="00A52F09"/>
    <w:rsid w:val="00A5357A"/>
    <w:rsid w:val="00A55434"/>
    <w:rsid w:val="00A55BFA"/>
    <w:rsid w:val="00A5791B"/>
    <w:rsid w:val="00A60633"/>
    <w:rsid w:val="00A611B7"/>
    <w:rsid w:val="00A6129F"/>
    <w:rsid w:val="00A61318"/>
    <w:rsid w:val="00A615C7"/>
    <w:rsid w:val="00A6168C"/>
    <w:rsid w:val="00A624FF"/>
    <w:rsid w:val="00A62A4E"/>
    <w:rsid w:val="00A6376B"/>
    <w:rsid w:val="00A65DAB"/>
    <w:rsid w:val="00A67635"/>
    <w:rsid w:val="00A67B1D"/>
    <w:rsid w:val="00A7100B"/>
    <w:rsid w:val="00A7183C"/>
    <w:rsid w:val="00A72190"/>
    <w:rsid w:val="00A721D5"/>
    <w:rsid w:val="00A75ECD"/>
    <w:rsid w:val="00A764A8"/>
    <w:rsid w:val="00A76D33"/>
    <w:rsid w:val="00A7724A"/>
    <w:rsid w:val="00A77D96"/>
    <w:rsid w:val="00A80C9A"/>
    <w:rsid w:val="00A82DFF"/>
    <w:rsid w:val="00A8436A"/>
    <w:rsid w:val="00A85CB9"/>
    <w:rsid w:val="00A86FE6"/>
    <w:rsid w:val="00A90F56"/>
    <w:rsid w:val="00A91010"/>
    <w:rsid w:val="00A93CE4"/>
    <w:rsid w:val="00A94CD7"/>
    <w:rsid w:val="00A95899"/>
    <w:rsid w:val="00A95C3C"/>
    <w:rsid w:val="00A96035"/>
    <w:rsid w:val="00A97050"/>
    <w:rsid w:val="00A97390"/>
    <w:rsid w:val="00A9784C"/>
    <w:rsid w:val="00A97E78"/>
    <w:rsid w:val="00AA1012"/>
    <w:rsid w:val="00AA2741"/>
    <w:rsid w:val="00AA35B8"/>
    <w:rsid w:val="00AA3EF0"/>
    <w:rsid w:val="00AA4517"/>
    <w:rsid w:val="00AA4C3B"/>
    <w:rsid w:val="00AA587A"/>
    <w:rsid w:val="00AA63CE"/>
    <w:rsid w:val="00AA6453"/>
    <w:rsid w:val="00AA6A0A"/>
    <w:rsid w:val="00AA6D14"/>
    <w:rsid w:val="00AA7039"/>
    <w:rsid w:val="00AB0B5C"/>
    <w:rsid w:val="00AB0C20"/>
    <w:rsid w:val="00AB0FFD"/>
    <w:rsid w:val="00AB225D"/>
    <w:rsid w:val="00AB3C7E"/>
    <w:rsid w:val="00AB3E9E"/>
    <w:rsid w:val="00AB3F8F"/>
    <w:rsid w:val="00AB4C36"/>
    <w:rsid w:val="00AB5B31"/>
    <w:rsid w:val="00AB65A9"/>
    <w:rsid w:val="00AB65B2"/>
    <w:rsid w:val="00AB6DD7"/>
    <w:rsid w:val="00AB7612"/>
    <w:rsid w:val="00AC065C"/>
    <w:rsid w:val="00AC353C"/>
    <w:rsid w:val="00AC3568"/>
    <w:rsid w:val="00AC3A97"/>
    <w:rsid w:val="00AC41CF"/>
    <w:rsid w:val="00AC42D0"/>
    <w:rsid w:val="00AC55FB"/>
    <w:rsid w:val="00AC6531"/>
    <w:rsid w:val="00AC71F7"/>
    <w:rsid w:val="00AD2245"/>
    <w:rsid w:val="00AD717F"/>
    <w:rsid w:val="00AD71F9"/>
    <w:rsid w:val="00AE0508"/>
    <w:rsid w:val="00AE0810"/>
    <w:rsid w:val="00AE10E2"/>
    <w:rsid w:val="00AE1B99"/>
    <w:rsid w:val="00AE3AB8"/>
    <w:rsid w:val="00AE58EB"/>
    <w:rsid w:val="00AE5AFB"/>
    <w:rsid w:val="00AE6A7D"/>
    <w:rsid w:val="00AF1773"/>
    <w:rsid w:val="00AF2464"/>
    <w:rsid w:val="00AF2592"/>
    <w:rsid w:val="00AF3629"/>
    <w:rsid w:val="00AF50B4"/>
    <w:rsid w:val="00AF546B"/>
    <w:rsid w:val="00AF5AE8"/>
    <w:rsid w:val="00AF5EB7"/>
    <w:rsid w:val="00AF6CC0"/>
    <w:rsid w:val="00AF7013"/>
    <w:rsid w:val="00B00A9F"/>
    <w:rsid w:val="00B01970"/>
    <w:rsid w:val="00B030E9"/>
    <w:rsid w:val="00B040AB"/>
    <w:rsid w:val="00B07A1D"/>
    <w:rsid w:val="00B07BE2"/>
    <w:rsid w:val="00B07CEF"/>
    <w:rsid w:val="00B07D33"/>
    <w:rsid w:val="00B10BA1"/>
    <w:rsid w:val="00B10BC0"/>
    <w:rsid w:val="00B10EB9"/>
    <w:rsid w:val="00B11F54"/>
    <w:rsid w:val="00B12D2D"/>
    <w:rsid w:val="00B14880"/>
    <w:rsid w:val="00B1596C"/>
    <w:rsid w:val="00B16A67"/>
    <w:rsid w:val="00B16B3C"/>
    <w:rsid w:val="00B17A60"/>
    <w:rsid w:val="00B17FBC"/>
    <w:rsid w:val="00B20F18"/>
    <w:rsid w:val="00B21EDA"/>
    <w:rsid w:val="00B225D2"/>
    <w:rsid w:val="00B22F27"/>
    <w:rsid w:val="00B244B3"/>
    <w:rsid w:val="00B24B07"/>
    <w:rsid w:val="00B24B93"/>
    <w:rsid w:val="00B24C44"/>
    <w:rsid w:val="00B255FC"/>
    <w:rsid w:val="00B25990"/>
    <w:rsid w:val="00B26871"/>
    <w:rsid w:val="00B268C1"/>
    <w:rsid w:val="00B26DA9"/>
    <w:rsid w:val="00B31239"/>
    <w:rsid w:val="00B31ED6"/>
    <w:rsid w:val="00B32202"/>
    <w:rsid w:val="00B32EF5"/>
    <w:rsid w:val="00B33A86"/>
    <w:rsid w:val="00B33B60"/>
    <w:rsid w:val="00B33EF1"/>
    <w:rsid w:val="00B36C11"/>
    <w:rsid w:val="00B375B5"/>
    <w:rsid w:val="00B40AB1"/>
    <w:rsid w:val="00B40AB6"/>
    <w:rsid w:val="00B42532"/>
    <w:rsid w:val="00B44336"/>
    <w:rsid w:val="00B44D05"/>
    <w:rsid w:val="00B45C0A"/>
    <w:rsid w:val="00B465B0"/>
    <w:rsid w:val="00B472C7"/>
    <w:rsid w:val="00B50038"/>
    <w:rsid w:val="00B5111F"/>
    <w:rsid w:val="00B537B4"/>
    <w:rsid w:val="00B544BA"/>
    <w:rsid w:val="00B55222"/>
    <w:rsid w:val="00B563BB"/>
    <w:rsid w:val="00B602BF"/>
    <w:rsid w:val="00B60B0E"/>
    <w:rsid w:val="00B619AE"/>
    <w:rsid w:val="00B62C6F"/>
    <w:rsid w:val="00B62FB2"/>
    <w:rsid w:val="00B6382A"/>
    <w:rsid w:val="00B64367"/>
    <w:rsid w:val="00B645B9"/>
    <w:rsid w:val="00B65365"/>
    <w:rsid w:val="00B66DA7"/>
    <w:rsid w:val="00B66FF4"/>
    <w:rsid w:val="00B6744E"/>
    <w:rsid w:val="00B67DAA"/>
    <w:rsid w:val="00B70149"/>
    <w:rsid w:val="00B7017F"/>
    <w:rsid w:val="00B7063D"/>
    <w:rsid w:val="00B70743"/>
    <w:rsid w:val="00B70FA9"/>
    <w:rsid w:val="00B72D01"/>
    <w:rsid w:val="00B756A1"/>
    <w:rsid w:val="00B76B53"/>
    <w:rsid w:val="00B80BE0"/>
    <w:rsid w:val="00B80EFB"/>
    <w:rsid w:val="00B81548"/>
    <w:rsid w:val="00B815D3"/>
    <w:rsid w:val="00B81ACF"/>
    <w:rsid w:val="00B84AF5"/>
    <w:rsid w:val="00B85028"/>
    <w:rsid w:val="00B85773"/>
    <w:rsid w:val="00B86369"/>
    <w:rsid w:val="00B90AF8"/>
    <w:rsid w:val="00B90BB4"/>
    <w:rsid w:val="00B911C9"/>
    <w:rsid w:val="00B91766"/>
    <w:rsid w:val="00B919D0"/>
    <w:rsid w:val="00B93E12"/>
    <w:rsid w:val="00B969C3"/>
    <w:rsid w:val="00B96A63"/>
    <w:rsid w:val="00B96B28"/>
    <w:rsid w:val="00BA0143"/>
    <w:rsid w:val="00BA0C1A"/>
    <w:rsid w:val="00BA17E3"/>
    <w:rsid w:val="00BA34C7"/>
    <w:rsid w:val="00BA5447"/>
    <w:rsid w:val="00BA67F4"/>
    <w:rsid w:val="00BA6D25"/>
    <w:rsid w:val="00BA6E7C"/>
    <w:rsid w:val="00BB1356"/>
    <w:rsid w:val="00BB186B"/>
    <w:rsid w:val="00BB404F"/>
    <w:rsid w:val="00BB4302"/>
    <w:rsid w:val="00BB4513"/>
    <w:rsid w:val="00BB54A9"/>
    <w:rsid w:val="00BB5C3A"/>
    <w:rsid w:val="00BB702D"/>
    <w:rsid w:val="00BC0AA2"/>
    <w:rsid w:val="00BC0B18"/>
    <w:rsid w:val="00BC20A6"/>
    <w:rsid w:val="00BC252B"/>
    <w:rsid w:val="00BC3C2E"/>
    <w:rsid w:val="00BC7140"/>
    <w:rsid w:val="00BC719C"/>
    <w:rsid w:val="00BD016E"/>
    <w:rsid w:val="00BD100B"/>
    <w:rsid w:val="00BD28D8"/>
    <w:rsid w:val="00BD38E0"/>
    <w:rsid w:val="00BD399C"/>
    <w:rsid w:val="00BD3F5E"/>
    <w:rsid w:val="00BD45C2"/>
    <w:rsid w:val="00BD500C"/>
    <w:rsid w:val="00BD5D40"/>
    <w:rsid w:val="00BE14DB"/>
    <w:rsid w:val="00BE25EA"/>
    <w:rsid w:val="00BE305F"/>
    <w:rsid w:val="00BE3AFE"/>
    <w:rsid w:val="00BE45B0"/>
    <w:rsid w:val="00BE5B45"/>
    <w:rsid w:val="00BE72B2"/>
    <w:rsid w:val="00BF0FED"/>
    <w:rsid w:val="00BF1F7B"/>
    <w:rsid w:val="00BF27D0"/>
    <w:rsid w:val="00BF2825"/>
    <w:rsid w:val="00BF400F"/>
    <w:rsid w:val="00BF4AD3"/>
    <w:rsid w:val="00BF5645"/>
    <w:rsid w:val="00C01CED"/>
    <w:rsid w:val="00C02996"/>
    <w:rsid w:val="00C049C1"/>
    <w:rsid w:val="00C05382"/>
    <w:rsid w:val="00C061CB"/>
    <w:rsid w:val="00C0711B"/>
    <w:rsid w:val="00C07246"/>
    <w:rsid w:val="00C11C7D"/>
    <w:rsid w:val="00C12329"/>
    <w:rsid w:val="00C14B0B"/>
    <w:rsid w:val="00C1545C"/>
    <w:rsid w:val="00C15EB4"/>
    <w:rsid w:val="00C16F8F"/>
    <w:rsid w:val="00C17A67"/>
    <w:rsid w:val="00C17FC0"/>
    <w:rsid w:val="00C20E09"/>
    <w:rsid w:val="00C23C95"/>
    <w:rsid w:val="00C243A0"/>
    <w:rsid w:val="00C26875"/>
    <w:rsid w:val="00C272BF"/>
    <w:rsid w:val="00C3303C"/>
    <w:rsid w:val="00C33404"/>
    <w:rsid w:val="00C33485"/>
    <w:rsid w:val="00C33D19"/>
    <w:rsid w:val="00C34B28"/>
    <w:rsid w:val="00C34D9E"/>
    <w:rsid w:val="00C36346"/>
    <w:rsid w:val="00C3650F"/>
    <w:rsid w:val="00C3695F"/>
    <w:rsid w:val="00C36C6C"/>
    <w:rsid w:val="00C36F2F"/>
    <w:rsid w:val="00C3758B"/>
    <w:rsid w:val="00C37EB9"/>
    <w:rsid w:val="00C42B93"/>
    <w:rsid w:val="00C43C74"/>
    <w:rsid w:val="00C43D1D"/>
    <w:rsid w:val="00C45E47"/>
    <w:rsid w:val="00C45EB6"/>
    <w:rsid w:val="00C46100"/>
    <w:rsid w:val="00C46AF5"/>
    <w:rsid w:val="00C4764C"/>
    <w:rsid w:val="00C47A00"/>
    <w:rsid w:val="00C47E21"/>
    <w:rsid w:val="00C509BC"/>
    <w:rsid w:val="00C519BD"/>
    <w:rsid w:val="00C526F6"/>
    <w:rsid w:val="00C548B9"/>
    <w:rsid w:val="00C557AD"/>
    <w:rsid w:val="00C557C7"/>
    <w:rsid w:val="00C564D3"/>
    <w:rsid w:val="00C60015"/>
    <w:rsid w:val="00C604EC"/>
    <w:rsid w:val="00C613F4"/>
    <w:rsid w:val="00C63C84"/>
    <w:rsid w:val="00C63D1E"/>
    <w:rsid w:val="00C6454A"/>
    <w:rsid w:val="00C6463C"/>
    <w:rsid w:val="00C64978"/>
    <w:rsid w:val="00C64F5B"/>
    <w:rsid w:val="00C65274"/>
    <w:rsid w:val="00C7010A"/>
    <w:rsid w:val="00C708D7"/>
    <w:rsid w:val="00C71EE2"/>
    <w:rsid w:val="00C730B5"/>
    <w:rsid w:val="00C739D8"/>
    <w:rsid w:val="00C75D15"/>
    <w:rsid w:val="00C76E3A"/>
    <w:rsid w:val="00C77A1F"/>
    <w:rsid w:val="00C816BD"/>
    <w:rsid w:val="00C819DA"/>
    <w:rsid w:val="00C8207A"/>
    <w:rsid w:val="00C82755"/>
    <w:rsid w:val="00C82879"/>
    <w:rsid w:val="00C84A9E"/>
    <w:rsid w:val="00C85B39"/>
    <w:rsid w:val="00C85B66"/>
    <w:rsid w:val="00C860D9"/>
    <w:rsid w:val="00C877D4"/>
    <w:rsid w:val="00C87F90"/>
    <w:rsid w:val="00C91FF5"/>
    <w:rsid w:val="00C92312"/>
    <w:rsid w:val="00C954BE"/>
    <w:rsid w:val="00C95B51"/>
    <w:rsid w:val="00CA0B5F"/>
    <w:rsid w:val="00CA1AA0"/>
    <w:rsid w:val="00CA1B5E"/>
    <w:rsid w:val="00CA205E"/>
    <w:rsid w:val="00CA26D3"/>
    <w:rsid w:val="00CA2DC7"/>
    <w:rsid w:val="00CA37F5"/>
    <w:rsid w:val="00CA3896"/>
    <w:rsid w:val="00CA4285"/>
    <w:rsid w:val="00CA5B5C"/>
    <w:rsid w:val="00CA65E3"/>
    <w:rsid w:val="00CA7672"/>
    <w:rsid w:val="00CA7AB2"/>
    <w:rsid w:val="00CB1B14"/>
    <w:rsid w:val="00CB28C4"/>
    <w:rsid w:val="00CB2F22"/>
    <w:rsid w:val="00CB3225"/>
    <w:rsid w:val="00CB327B"/>
    <w:rsid w:val="00CB4079"/>
    <w:rsid w:val="00CB4FD1"/>
    <w:rsid w:val="00CB5D00"/>
    <w:rsid w:val="00CB6670"/>
    <w:rsid w:val="00CB6F3A"/>
    <w:rsid w:val="00CB7C02"/>
    <w:rsid w:val="00CC0275"/>
    <w:rsid w:val="00CC1801"/>
    <w:rsid w:val="00CC263B"/>
    <w:rsid w:val="00CC42C2"/>
    <w:rsid w:val="00CC4400"/>
    <w:rsid w:val="00CC47BD"/>
    <w:rsid w:val="00CC4BD2"/>
    <w:rsid w:val="00CC50B4"/>
    <w:rsid w:val="00CC5DAE"/>
    <w:rsid w:val="00CC6249"/>
    <w:rsid w:val="00CC6720"/>
    <w:rsid w:val="00CC7FE8"/>
    <w:rsid w:val="00CD0640"/>
    <w:rsid w:val="00CD179B"/>
    <w:rsid w:val="00CD2E67"/>
    <w:rsid w:val="00CD386A"/>
    <w:rsid w:val="00CD4819"/>
    <w:rsid w:val="00CD4E02"/>
    <w:rsid w:val="00CD4E92"/>
    <w:rsid w:val="00CD5C58"/>
    <w:rsid w:val="00CD616E"/>
    <w:rsid w:val="00CD61BF"/>
    <w:rsid w:val="00CD64DA"/>
    <w:rsid w:val="00CD795A"/>
    <w:rsid w:val="00CE0BF0"/>
    <w:rsid w:val="00CE3DC9"/>
    <w:rsid w:val="00CE5300"/>
    <w:rsid w:val="00CE5D12"/>
    <w:rsid w:val="00CE7BAB"/>
    <w:rsid w:val="00CF1238"/>
    <w:rsid w:val="00CF2233"/>
    <w:rsid w:val="00CF34C0"/>
    <w:rsid w:val="00CF39C7"/>
    <w:rsid w:val="00CF44BD"/>
    <w:rsid w:val="00CF47DE"/>
    <w:rsid w:val="00CF4ED6"/>
    <w:rsid w:val="00CF5413"/>
    <w:rsid w:val="00CF632B"/>
    <w:rsid w:val="00CF6D6A"/>
    <w:rsid w:val="00CF7082"/>
    <w:rsid w:val="00D015B9"/>
    <w:rsid w:val="00D01953"/>
    <w:rsid w:val="00D022FB"/>
    <w:rsid w:val="00D0296B"/>
    <w:rsid w:val="00D03369"/>
    <w:rsid w:val="00D05D66"/>
    <w:rsid w:val="00D074F5"/>
    <w:rsid w:val="00D0794B"/>
    <w:rsid w:val="00D10312"/>
    <w:rsid w:val="00D10341"/>
    <w:rsid w:val="00D10B7C"/>
    <w:rsid w:val="00D10C2A"/>
    <w:rsid w:val="00D10CF1"/>
    <w:rsid w:val="00D10DB5"/>
    <w:rsid w:val="00D11AB5"/>
    <w:rsid w:val="00D11F56"/>
    <w:rsid w:val="00D12E4B"/>
    <w:rsid w:val="00D12EB4"/>
    <w:rsid w:val="00D13DE9"/>
    <w:rsid w:val="00D15FC4"/>
    <w:rsid w:val="00D16F2B"/>
    <w:rsid w:val="00D17717"/>
    <w:rsid w:val="00D17869"/>
    <w:rsid w:val="00D201A8"/>
    <w:rsid w:val="00D21373"/>
    <w:rsid w:val="00D21C45"/>
    <w:rsid w:val="00D23012"/>
    <w:rsid w:val="00D2443D"/>
    <w:rsid w:val="00D24E79"/>
    <w:rsid w:val="00D25E9E"/>
    <w:rsid w:val="00D25F6F"/>
    <w:rsid w:val="00D26095"/>
    <w:rsid w:val="00D26160"/>
    <w:rsid w:val="00D303C9"/>
    <w:rsid w:val="00D31B75"/>
    <w:rsid w:val="00D31BED"/>
    <w:rsid w:val="00D32322"/>
    <w:rsid w:val="00D3235F"/>
    <w:rsid w:val="00D33FB6"/>
    <w:rsid w:val="00D34A6E"/>
    <w:rsid w:val="00D35704"/>
    <w:rsid w:val="00D36EBB"/>
    <w:rsid w:val="00D37020"/>
    <w:rsid w:val="00D408B1"/>
    <w:rsid w:val="00D41C96"/>
    <w:rsid w:val="00D42104"/>
    <w:rsid w:val="00D429C2"/>
    <w:rsid w:val="00D42F36"/>
    <w:rsid w:val="00D43165"/>
    <w:rsid w:val="00D43BEA"/>
    <w:rsid w:val="00D43D84"/>
    <w:rsid w:val="00D45149"/>
    <w:rsid w:val="00D45445"/>
    <w:rsid w:val="00D45798"/>
    <w:rsid w:val="00D45A07"/>
    <w:rsid w:val="00D45F7B"/>
    <w:rsid w:val="00D46FC6"/>
    <w:rsid w:val="00D503C2"/>
    <w:rsid w:val="00D5190E"/>
    <w:rsid w:val="00D51B8A"/>
    <w:rsid w:val="00D529BD"/>
    <w:rsid w:val="00D539DA"/>
    <w:rsid w:val="00D53EA0"/>
    <w:rsid w:val="00D53ECB"/>
    <w:rsid w:val="00D5409C"/>
    <w:rsid w:val="00D56E55"/>
    <w:rsid w:val="00D57BDD"/>
    <w:rsid w:val="00D60EE1"/>
    <w:rsid w:val="00D62065"/>
    <w:rsid w:val="00D62965"/>
    <w:rsid w:val="00D64F2C"/>
    <w:rsid w:val="00D65858"/>
    <w:rsid w:val="00D663A5"/>
    <w:rsid w:val="00D71088"/>
    <w:rsid w:val="00D7224D"/>
    <w:rsid w:val="00D73661"/>
    <w:rsid w:val="00D73710"/>
    <w:rsid w:val="00D73C31"/>
    <w:rsid w:val="00D7421A"/>
    <w:rsid w:val="00D75B95"/>
    <w:rsid w:val="00D7620D"/>
    <w:rsid w:val="00D76736"/>
    <w:rsid w:val="00D80859"/>
    <w:rsid w:val="00D8142E"/>
    <w:rsid w:val="00D8246A"/>
    <w:rsid w:val="00D83BFC"/>
    <w:rsid w:val="00D842D3"/>
    <w:rsid w:val="00D85AA0"/>
    <w:rsid w:val="00D86783"/>
    <w:rsid w:val="00D87C8D"/>
    <w:rsid w:val="00D87F1D"/>
    <w:rsid w:val="00D906B0"/>
    <w:rsid w:val="00D90ED5"/>
    <w:rsid w:val="00D9152E"/>
    <w:rsid w:val="00D92047"/>
    <w:rsid w:val="00D925C1"/>
    <w:rsid w:val="00D93090"/>
    <w:rsid w:val="00DA0098"/>
    <w:rsid w:val="00DA0BE1"/>
    <w:rsid w:val="00DA19F0"/>
    <w:rsid w:val="00DA253F"/>
    <w:rsid w:val="00DA2B62"/>
    <w:rsid w:val="00DA2DCE"/>
    <w:rsid w:val="00DA5FB6"/>
    <w:rsid w:val="00DA784A"/>
    <w:rsid w:val="00DB0040"/>
    <w:rsid w:val="00DB26A7"/>
    <w:rsid w:val="00DB3613"/>
    <w:rsid w:val="00DB3E5D"/>
    <w:rsid w:val="00DB484E"/>
    <w:rsid w:val="00DB5731"/>
    <w:rsid w:val="00DB58F6"/>
    <w:rsid w:val="00DB59E4"/>
    <w:rsid w:val="00DB5D77"/>
    <w:rsid w:val="00DB5D82"/>
    <w:rsid w:val="00DB648B"/>
    <w:rsid w:val="00DB678E"/>
    <w:rsid w:val="00DB6806"/>
    <w:rsid w:val="00DB683C"/>
    <w:rsid w:val="00DB6B94"/>
    <w:rsid w:val="00DC036E"/>
    <w:rsid w:val="00DC2FA5"/>
    <w:rsid w:val="00DC33A7"/>
    <w:rsid w:val="00DC33FC"/>
    <w:rsid w:val="00DC3CA6"/>
    <w:rsid w:val="00DC3E05"/>
    <w:rsid w:val="00DC408A"/>
    <w:rsid w:val="00DC54C3"/>
    <w:rsid w:val="00DC7ED3"/>
    <w:rsid w:val="00DD039B"/>
    <w:rsid w:val="00DD0C8B"/>
    <w:rsid w:val="00DD1624"/>
    <w:rsid w:val="00DD1FF1"/>
    <w:rsid w:val="00DD4C37"/>
    <w:rsid w:val="00DD7389"/>
    <w:rsid w:val="00DE194B"/>
    <w:rsid w:val="00DE3938"/>
    <w:rsid w:val="00DE3D33"/>
    <w:rsid w:val="00DE3D6E"/>
    <w:rsid w:val="00DE3E50"/>
    <w:rsid w:val="00DE5B9E"/>
    <w:rsid w:val="00DE64FD"/>
    <w:rsid w:val="00DE6BE0"/>
    <w:rsid w:val="00DE786D"/>
    <w:rsid w:val="00DF0BA7"/>
    <w:rsid w:val="00DF1D87"/>
    <w:rsid w:val="00DF2876"/>
    <w:rsid w:val="00DF3202"/>
    <w:rsid w:val="00DF37B8"/>
    <w:rsid w:val="00DF38F0"/>
    <w:rsid w:val="00DF433B"/>
    <w:rsid w:val="00DF51F0"/>
    <w:rsid w:val="00DF5360"/>
    <w:rsid w:val="00DF553B"/>
    <w:rsid w:val="00DF7CA1"/>
    <w:rsid w:val="00E02543"/>
    <w:rsid w:val="00E02E8B"/>
    <w:rsid w:val="00E0616C"/>
    <w:rsid w:val="00E07A53"/>
    <w:rsid w:val="00E10008"/>
    <w:rsid w:val="00E11DB4"/>
    <w:rsid w:val="00E12842"/>
    <w:rsid w:val="00E12CB6"/>
    <w:rsid w:val="00E139DF"/>
    <w:rsid w:val="00E14862"/>
    <w:rsid w:val="00E165AA"/>
    <w:rsid w:val="00E166FE"/>
    <w:rsid w:val="00E167F4"/>
    <w:rsid w:val="00E17EA0"/>
    <w:rsid w:val="00E17F43"/>
    <w:rsid w:val="00E204F6"/>
    <w:rsid w:val="00E20D32"/>
    <w:rsid w:val="00E20F45"/>
    <w:rsid w:val="00E21296"/>
    <w:rsid w:val="00E21B6A"/>
    <w:rsid w:val="00E235F3"/>
    <w:rsid w:val="00E2449D"/>
    <w:rsid w:val="00E24FA3"/>
    <w:rsid w:val="00E25324"/>
    <w:rsid w:val="00E257F6"/>
    <w:rsid w:val="00E25847"/>
    <w:rsid w:val="00E26251"/>
    <w:rsid w:val="00E274AC"/>
    <w:rsid w:val="00E30038"/>
    <w:rsid w:val="00E303FF"/>
    <w:rsid w:val="00E30A81"/>
    <w:rsid w:val="00E31431"/>
    <w:rsid w:val="00E328E3"/>
    <w:rsid w:val="00E332A4"/>
    <w:rsid w:val="00E337BD"/>
    <w:rsid w:val="00E33E21"/>
    <w:rsid w:val="00E34D88"/>
    <w:rsid w:val="00E357F6"/>
    <w:rsid w:val="00E36B9E"/>
    <w:rsid w:val="00E3749B"/>
    <w:rsid w:val="00E37BAD"/>
    <w:rsid w:val="00E401DF"/>
    <w:rsid w:val="00E406E3"/>
    <w:rsid w:val="00E40BDF"/>
    <w:rsid w:val="00E40CD0"/>
    <w:rsid w:val="00E41E36"/>
    <w:rsid w:val="00E42A8A"/>
    <w:rsid w:val="00E44330"/>
    <w:rsid w:val="00E4451F"/>
    <w:rsid w:val="00E46CDA"/>
    <w:rsid w:val="00E50A18"/>
    <w:rsid w:val="00E50D0B"/>
    <w:rsid w:val="00E5435D"/>
    <w:rsid w:val="00E56B1B"/>
    <w:rsid w:val="00E5798E"/>
    <w:rsid w:val="00E57C95"/>
    <w:rsid w:val="00E57CD4"/>
    <w:rsid w:val="00E60985"/>
    <w:rsid w:val="00E60C1C"/>
    <w:rsid w:val="00E60C93"/>
    <w:rsid w:val="00E61801"/>
    <w:rsid w:val="00E618F1"/>
    <w:rsid w:val="00E620F0"/>
    <w:rsid w:val="00E62842"/>
    <w:rsid w:val="00E63242"/>
    <w:rsid w:val="00E63510"/>
    <w:rsid w:val="00E6378A"/>
    <w:rsid w:val="00E647A8"/>
    <w:rsid w:val="00E64BE2"/>
    <w:rsid w:val="00E65C15"/>
    <w:rsid w:val="00E675EF"/>
    <w:rsid w:val="00E7078F"/>
    <w:rsid w:val="00E70897"/>
    <w:rsid w:val="00E71F17"/>
    <w:rsid w:val="00E72EA7"/>
    <w:rsid w:val="00E757A2"/>
    <w:rsid w:val="00E762CE"/>
    <w:rsid w:val="00E76A34"/>
    <w:rsid w:val="00E80253"/>
    <w:rsid w:val="00E80AC9"/>
    <w:rsid w:val="00E8320F"/>
    <w:rsid w:val="00E8350F"/>
    <w:rsid w:val="00E83FD0"/>
    <w:rsid w:val="00E8503B"/>
    <w:rsid w:val="00E85BCA"/>
    <w:rsid w:val="00E876C4"/>
    <w:rsid w:val="00E9080E"/>
    <w:rsid w:val="00E91C00"/>
    <w:rsid w:val="00E91E2D"/>
    <w:rsid w:val="00E9271B"/>
    <w:rsid w:val="00E937C6"/>
    <w:rsid w:val="00E93975"/>
    <w:rsid w:val="00E94943"/>
    <w:rsid w:val="00E951B1"/>
    <w:rsid w:val="00E954CD"/>
    <w:rsid w:val="00E95666"/>
    <w:rsid w:val="00E958E1"/>
    <w:rsid w:val="00E95E91"/>
    <w:rsid w:val="00E96B37"/>
    <w:rsid w:val="00E978BF"/>
    <w:rsid w:val="00EA08C5"/>
    <w:rsid w:val="00EA10C7"/>
    <w:rsid w:val="00EA1EE8"/>
    <w:rsid w:val="00EA2D94"/>
    <w:rsid w:val="00EA3060"/>
    <w:rsid w:val="00EA3849"/>
    <w:rsid w:val="00EA3DEF"/>
    <w:rsid w:val="00EA3FF8"/>
    <w:rsid w:val="00EA42FA"/>
    <w:rsid w:val="00EA48F2"/>
    <w:rsid w:val="00EA597C"/>
    <w:rsid w:val="00EA5BD6"/>
    <w:rsid w:val="00EA5D9A"/>
    <w:rsid w:val="00EA5F1F"/>
    <w:rsid w:val="00EA64BE"/>
    <w:rsid w:val="00EA6F0F"/>
    <w:rsid w:val="00EA7028"/>
    <w:rsid w:val="00EA7549"/>
    <w:rsid w:val="00EA761F"/>
    <w:rsid w:val="00EA77BC"/>
    <w:rsid w:val="00EB0F46"/>
    <w:rsid w:val="00EB2086"/>
    <w:rsid w:val="00EB3AD1"/>
    <w:rsid w:val="00EB3EC6"/>
    <w:rsid w:val="00EB60B8"/>
    <w:rsid w:val="00EB6E1C"/>
    <w:rsid w:val="00EB7416"/>
    <w:rsid w:val="00EC29C0"/>
    <w:rsid w:val="00EC3353"/>
    <w:rsid w:val="00EC33B4"/>
    <w:rsid w:val="00EC33EA"/>
    <w:rsid w:val="00EC39E2"/>
    <w:rsid w:val="00EC4358"/>
    <w:rsid w:val="00EC5424"/>
    <w:rsid w:val="00EC5ADB"/>
    <w:rsid w:val="00ED1478"/>
    <w:rsid w:val="00ED24C2"/>
    <w:rsid w:val="00ED2D74"/>
    <w:rsid w:val="00ED4201"/>
    <w:rsid w:val="00ED518D"/>
    <w:rsid w:val="00ED5580"/>
    <w:rsid w:val="00ED58C5"/>
    <w:rsid w:val="00ED6E9F"/>
    <w:rsid w:val="00EE2AC9"/>
    <w:rsid w:val="00EE450B"/>
    <w:rsid w:val="00EE4F71"/>
    <w:rsid w:val="00EE5909"/>
    <w:rsid w:val="00EE5F43"/>
    <w:rsid w:val="00EE70B8"/>
    <w:rsid w:val="00EE7317"/>
    <w:rsid w:val="00EF0033"/>
    <w:rsid w:val="00EF0FBB"/>
    <w:rsid w:val="00EF20D5"/>
    <w:rsid w:val="00EF279B"/>
    <w:rsid w:val="00EF2C58"/>
    <w:rsid w:val="00EF4DDD"/>
    <w:rsid w:val="00EF598C"/>
    <w:rsid w:val="00EF6484"/>
    <w:rsid w:val="00F00576"/>
    <w:rsid w:val="00F00E7E"/>
    <w:rsid w:val="00F01CB3"/>
    <w:rsid w:val="00F02118"/>
    <w:rsid w:val="00F02990"/>
    <w:rsid w:val="00F0393E"/>
    <w:rsid w:val="00F054B2"/>
    <w:rsid w:val="00F06E7B"/>
    <w:rsid w:val="00F079F2"/>
    <w:rsid w:val="00F07FEC"/>
    <w:rsid w:val="00F1020F"/>
    <w:rsid w:val="00F105BA"/>
    <w:rsid w:val="00F107CA"/>
    <w:rsid w:val="00F1187B"/>
    <w:rsid w:val="00F1221D"/>
    <w:rsid w:val="00F122A8"/>
    <w:rsid w:val="00F124B8"/>
    <w:rsid w:val="00F127AE"/>
    <w:rsid w:val="00F13007"/>
    <w:rsid w:val="00F13157"/>
    <w:rsid w:val="00F13CD8"/>
    <w:rsid w:val="00F14C43"/>
    <w:rsid w:val="00F14E97"/>
    <w:rsid w:val="00F150B2"/>
    <w:rsid w:val="00F15E47"/>
    <w:rsid w:val="00F16F15"/>
    <w:rsid w:val="00F17E7D"/>
    <w:rsid w:val="00F20F1D"/>
    <w:rsid w:val="00F22F76"/>
    <w:rsid w:val="00F23D30"/>
    <w:rsid w:val="00F2413F"/>
    <w:rsid w:val="00F260D2"/>
    <w:rsid w:val="00F26614"/>
    <w:rsid w:val="00F26F62"/>
    <w:rsid w:val="00F274B1"/>
    <w:rsid w:val="00F3046C"/>
    <w:rsid w:val="00F30DF0"/>
    <w:rsid w:val="00F32766"/>
    <w:rsid w:val="00F3438B"/>
    <w:rsid w:val="00F356D0"/>
    <w:rsid w:val="00F3589C"/>
    <w:rsid w:val="00F366B1"/>
    <w:rsid w:val="00F36D6E"/>
    <w:rsid w:val="00F40102"/>
    <w:rsid w:val="00F41565"/>
    <w:rsid w:val="00F42A36"/>
    <w:rsid w:val="00F42D90"/>
    <w:rsid w:val="00F42E0C"/>
    <w:rsid w:val="00F4319D"/>
    <w:rsid w:val="00F4579B"/>
    <w:rsid w:val="00F4579E"/>
    <w:rsid w:val="00F46D8F"/>
    <w:rsid w:val="00F47C97"/>
    <w:rsid w:val="00F47DCB"/>
    <w:rsid w:val="00F50538"/>
    <w:rsid w:val="00F52382"/>
    <w:rsid w:val="00F528DA"/>
    <w:rsid w:val="00F53662"/>
    <w:rsid w:val="00F53816"/>
    <w:rsid w:val="00F5490E"/>
    <w:rsid w:val="00F6110A"/>
    <w:rsid w:val="00F6168C"/>
    <w:rsid w:val="00F63086"/>
    <w:rsid w:val="00F640A8"/>
    <w:rsid w:val="00F641D5"/>
    <w:rsid w:val="00F645BA"/>
    <w:rsid w:val="00F65272"/>
    <w:rsid w:val="00F66272"/>
    <w:rsid w:val="00F6798E"/>
    <w:rsid w:val="00F73040"/>
    <w:rsid w:val="00F73F2A"/>
    <w:rsid w:val="00F741A6"/>
    <w:rsid w:val="00F74731"/>
    <w:rsid w:val="00F74906"/>
    <w:rsid w:val="00F750A3"/>
    <w:rsid w:val="00F76D12"/>
    <w:rsid w:val="00F77590"/>
    <w:rsid w:val="00F812E6"/>
    <w:rsid w:val="00F816F9"/>
    <w:rsid w:val="00F8177F"/>
    <w:rsid w:val="00F81862"/>
    <w:rsid w:val="00F82349"/>
    <w:rsid w:val="00F8307A"/>
    <w:rsid w:val="00F83DED"/>
    <w:rsid w:val="00F84570"/>
    <w:rsid w:val="00F8723C"/>
    <w:rsid w:val="00F874B1"/>
    <w:rsid w:val="00F907EF"/>
    <w:rsid w:val="00F91BF4"/>
    <w:rsid w:val="00F91C42"/>
    <w:rsid w:val="00F93283"/>
    <w:rsid w:val="00F9497E"/>
    <w:rsid w:val="00F95219"/>
    <w:rsid w:val="00F9699B"/>
    <w:rsid w:val="00F96B18"/>
    <w:rsid w:val="00F976A3"/>
    <w:rsid w:val="00F97B77"/>
    <w:rsid w:val="00FA02C0"/>
    <w:rsid w:val="00FA3213"/>
    <w:rsid w:val="00FA3530"/>
    <w:rsid w:val="00FA3872"/>
    <w:rsid w:val="00FA3CE4"/>
    <w:rsid w:val="00FA45D6"/>
    <w:rsid w:val="00FA49BE"/>
    <w:rsid w:val="00FB11B1"/>
    <w:rsid w:val="00FB1330"/>
    <w:rsid w:val="00FB1D0E"/>
    <w:rsid w:val="00FB2F4F"/>
    <w:rsid w:val="00FB52CA"/>
    <w:rsid w:val="00FB5CAC"/>
    <w:rsid w:val="00FB71B3"/>
    <w:rsid w:val="00FC0BBA"/>
    <w:rsid w:val="00FC0D36"/>
    <w:rsid w:val="00FC3671"/>
    <w:rsid w:val="00FC3FA5"/>
    <w:rsid w:val="00FC40EE"/>
    <w:rsid w:val="00FC451A"/>
    <w:rsid w:val="00FC53E4"/>
    <w:rsid w:val="00FC5E72"/>
    <w:rsid w:val="00FC602A"/>
    <w:rsid w:val="00FC6FDF"/>
    <w:rsid w:val="00FC779E"/>
    <w:rsid w:val="00FC7890"/>
    <w:rsid w:val="00FD0EE1"/>
    <w:rsid w:val="00FD163C"/>
    <w:rsid w:val="00FD1DB2"/>
    <w:rsid w:val="00FD2D10"/>
    <w:rsid w:val="00FD4387"/>
    <w:rsid w:val="00FD4B4B"/>
    <w:rsid w:val="00FD5097"/>
    <w:rsid w:val="00FD7341"/>
    <w:rsid w:val="00FE02D8"/>
    <w:rsid w:val="00FE0812"/>
    <w:rsid w:val="00FE0821"/>
    <w:rsid w:val="00FE0A2F"/>
    <w:rsid w:val="00FE1B8C"/>
    <w:rsid w:val="00FE1BE3"/>
    <w:rsid w:val="00FE1E21"/>
    <w:rsid w:val="00FE1F1C"/>
    <w:rsid w:val="00FE23D6"/>
    <w:rsid w:val="00FE23E4"/>
    <w:rsid w:val="00FE3C38"/>
    <w:rsid w:val="00FE54EF"/>
    <w:rsid w:val="00FE7D8E"/>
    <w:rsid w:val="00FF1A27"/>
    <w:rsid w:val="00FF2663"/>
    <w:rsid w:val="00FF2B32"/>
    <w:rsid w:val="00FF2CCE"/>
    <w:rsid w:val="00FF4556"/>
    <w:rsid w:val="00FF4571"/>
    <w:rsid w:val="00FF4977"/>
    <w:rsid w:val="00FF4C85"/>
    <w:rsid w:val="00FF6270"/>
    <w:rsid w:val="00FF69FE"/>
    <w:rsid w:val="00FF7924"/>
    <w:rsid w:val="00FF7F74"/>
    <w:rsid w:val="00FF7F7D"/>
    <w:rsid w:val="02990180"/>
    <w:rsid w:val="083D07F0"/>
    <w:rsid w:val="0BF45AAC"/>
    <w:rsid w:val="105E3B74"/>
    <w:rsid w:val="139B6E7E"/>
    <w:rsid w:val="1C2C4424"/>
    <w:rsid w:val="1CD54CE6"/>
    <w:rsid w:val="1DEC38DC"/>
    <w:rsid w:val="24684EB9"/>
    <w:rsid w:val="290164CC"/>
    <w:rsid w:val="2F8C7B8C"/>
    <w:rsid w:val="30456175"/>
    <w:rsid w:val="329F3C2E"/>
    <w:rsid w:val="34FD4AC6"/>
    <w:rsid w:val="36772279"/>
    <w:rsid w:val="42630315"/>
    <w:rsid w:val="434067C1"/>
    <w:rsid w:val="521C2F0A"/>
    <w:rsid w:val="568D20C3"/>
    <w:rsid w:val="63E0567C"/>
    <w:rsid w:val="69112820"/>
    <w:rsid w:val="6EAF13B0"/>
    <w:rsid w:val="71061E72"/>
    <w:rsid w:val="719E2504"/>
    <w:rsid w:val="7A3B249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semiHidden="0" w:name="heading 3"/>
    <w:lsdException w:qFormat="1" w:uiPriority="9" w:semiHidden="0" w:name="heading 4"/>
    <w:lsdException w:qFormat="1" w:uiPriority="9" w:semiHidden="0" w:name="heading 5"/>
    <w:lsdException w:qFormat="1" w:uiPriority="9" w:semiHidden="0" w:name="heading 6"/>
    <w:lsdException w:qFormat="1" w:uiPriority="99" w:semiHidden="0" w:name="heading 7"/>
    <w:lsdException w:qFormat="1" w:uiPriority="99" w:semiHidden="0" w:name="heading 8"/>
    <w:lsdException w:qFormat="1" w:uiPriority="9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7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7"/>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38"/>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39"/>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40"/>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59"/>
    <w:unhideWhenUsed/>
    <w:qFormat/>
    <w:uiPriority w:val="99"/>
    <w:pPr>
      <w:keepNext/>
      <w:keepLines/>
      <w:spacing w:before="240" w:after="64" w:line="320" w:lineRule="auto"/>
      <w:outlineLvl w:val="6"/>
    </w:pPr>
    <w:rPr>
      <w:b/>
      <w:bCs/>
      <w:sz w:val="24"/>
      <w:szCs w:val="24"/>
    </w:rPr>
  </w:style>
  <w:style w:type="paragraph" w:styleId="9">
    <w:name w:val="heading 8"/>
    <w:basedOn w:val="1"/>
    <w:next w:val="1"/>
    <w:link w:val="65"/>
    <w:unhideWhenUsed/>
    <w:qFormat/>
    <w:uiPriority w:val="99"/>
    <w:pPr>
      <w:keepNext/>
      <w:keepLines/>
      <w:spacing w:line="360" w:lineRule="auto"/>
      <w:jc w:val="left"/>
      <w:outlineLvl w:val="7"/>
    </w:pPr>
    <w:rPr>
      <w:rFonts w:eastAsia="宋体" w:asciiTheme="majorHAnsi" w:hAnsiTheme="majorHAnsi" w:cstheme="majorBidi"/>
      <w:b/>
      <w:sz w:val="24"/>
      <w:szCs w:val="24"/>
    </w:rPr>
  </w:style>
  <w:style w:type="paragraph" w:styleId="10">
    <w:name w:val="heading 9"/>
    <w:basedOn w:val="1"/>
    <w:next w:val="1"/>
    <w:link w:val="66"/>
    <w:unhideWhenUsed/>
    <w:qFormat/>
    <w:uiPriority w:val="99"/>
    <w:pPr>
      <w:keepNext/>
      <w:keepLines/>
      <w:spacing w:before="240" w:after="64" w:line="320" w:lineRule="auto"/>
      <w:outlineLvl w:val="8"/>
    </w:pPr>
    <w:rPr>
      <w:rFonts w:asciiTheme="majorHAnsi" w:hAnsiTheme="majorHAnsi" w:eastAsiaTheme="majorEastAsia" w:cstheme="majorBidi"/>
      <w:sz w:val="24"/>
      <w:szCs w:val="21"/>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ind w:left="2520" w:leftChars="1200"/>
    </w:pPr>
  </w:style>
  <w:style w:type="paragraph" w:styleId="12">
    <w:name w:val="Normal Indent"/>
    <w:basedOn w:val="1"/>
    <w:qFormat/>
    <w:uiPriority w:val="0"/>
    <w:pPr>
      <w:spacing w:line="360" w:lineRule="exact"/>
      <w:ind w:firstLine="420"/>
    </w:pPr>
    <w:rPr>
      <w:rFonts w:ascii="Times New Roman" w:hAnsi="Times New Roman" w:eastAsia="宋体" w:cs="Times New Roman"/>
      <w:szCs w:val="24"/>
    </w:rPr>
  </w:style>
  <w:style w:type="paragraph" w:styleId="13">
    <w:name w:val="annotation text"/>
    <w:basedOn w:val="1"/>
    <w:link w:val="46"/>
    <w:unhideWhenUsed/>
    <w:qFormat/>
    <w:uiPriority w:val="0"/>
    <w:pPr>
      <w:jc w:val="left"/>
    </w:pPr>
  </w:style>
  <w:style w:type="paragraph" w:styleId="14">
    <w:name w:val="List 2"/>
    <w:basedOn w:val="1"/>
    <w:qFormat/>
    <w:uiPriority w:val="0"/>
    <w:pPr>
      <w:ind w:left="100" w:leftChars="200" w:hanging="200" w:hangingChars="200"/>
    </w:pPr>
    <w:rPr>
      <w:rFonts w:ascii="Times New Roman" w:hAnsi="Times New Roman" w:eastAsia="宋体" w:cs="Times New Roman"/>
      <w:szCs w:val="24"/>
    </w:rPr>
  </w:style>
  <w:style w:type="paragraph" w:styleId="15">
    <w:name w:val="toc 5"/>
    <w:basedOn w:val="1"/>
    <w:next w:val="1"/>
    <w:autoRedefine/>
    <w:unhideWhenUsed/>
    <w:qFormat/>
    <w:uiPriority w:val="39"/>
    <w:pPr>
      <w:ind w:left="1680" w:leftChars="800"/>
    </w:pPr>
  </w:style>
  <w:style w:type="paragraph" w:styleId="16">
    <w:name w:val="toc 3"/>
    <w:basedOn w:val="1"/>
    <w:next w:val="1"/>
    <w:autoRedefine/>
    <w:unhideWhenUsed/>
    <w:qFormat/>
    <w:uiPriority w:val="39"/>
    <w:pPr>
      <w:tabs>
        <w:tab w:val="left" w:pos="1680"/>
        <w:tab w:val="right" w:leader="dot" w:pos="8302"/>
      </w:tabs>
      <w:ind w:left="840" w:leftChars="400"/>
    </w:pPr>
  </w:style>
  <w:style w:type="paragraph" w:styleId="17">
    <w:name w:val="toc 8"/>
    <w:basedOn w:val="1"/>
    <w:next w:val="1"/>
    <w:autoRedefine/>
    <w:unhideWhenUsed/>
    <w:qFormat/>
    <w:uiPriority w:val="39"/>
    <w:pPr>
      <w:ind w:left="2940" w:leftChars="1400"/>
    </w:pPr>
  </w:style>
  <w:style w:type="paragraph" w:styleId="18">
    <w:name w:val="Balloon Text"/>
    <w:basedOn w:val="1"/>
    <w:link w:val="45"/>
    <w:semiHidden/>
    <w:unhideWhenUsed/>
    <w:qFormat/>
    <w:uiPriority w:val="99"/>
    <w:rPr>
      <w:sz w:val="18"/>
      <w:szCs w:val="18"/>
    </w:rPr>
  </w:style>
  <w:style w:type="paragraph" w:styleId="19">
    <w:name w:val="footer"/>
    <w:basedOn w:val="1"/>
    <w:link w:val="41"/>
    <w:unhideWhenUsed/>
    <w:qFormat/>
    <w:uiPriority w:val="99"/>
    <w:pPr>
      <w:tabs>
        <w:tab w:val="center" w:pos="4153"/>
        <w:tab w:val="right" w:pos="8306"/>
      </w:tabs>
      <w:snapToGrid w:val="0"/>
      <w:jc w:val="left"/>
    </w:pPr>
    <w:rPr>
      <w:sz w:val="18"/>
      <w:szCs w:val="18"/>
    </w:rPr>
  </w:style>
  <w:style w:type="paragraph" w:styleId="20">
    <w:name w:val="header"/>
    <w:basedOn w:val="1"/>
    <w:link w:val="42"/>
    <w:unhideWhenUsed/>
    <w:qFormat/>
    <w:uiPriority w:val="0"/>
    <w:pPr>
      <w:pBdr>
        <w:bottom w:val="single" w:color="auto" w:sz="6" w:space="1"/>
      </w:pBdr>
      <w:tabs>
        <w:tab w:val="center" w:pos="4153"/>
        <w:tab w:val="right" w:pos="8306"/>
      </w:tabs>
      <w:snapToGrid w:val="0"/>
      <w:jc w:val="center"/>
    </w:pPr>
    <w:rPr>
      <w:sz w:val="18"/>
      <w:szCs w:val="18"/>
    </w:rPr>
  </w:style>
  <w:style w:type="paragraph" w:styleId="21">
    <w:name w:val="toc 1"/>
    <w:basedOn w:val="1"/>
    <w:next w:val="1"/>
    <w:autoRedefine/>
    <w:unhideWhenUsed/>
    <w:qFormat/>
    <w:uiPriority w:val="39"/>
    <w:pPr>
      <w:tabs>
        <w:tab w:val="left" w:pos="840"/>
        <w:tab w:val="right" w:leader="dot" w:pos="8296"/>
      </w:tabs>
    </w:pPr>
    <w:rPr>
      <w:rFonts w:ascii="宋体" w:hAnsi="宋体" w:eastAsia="宋体" w:cs="Arial"/>
      <w:bCs/>
    </w:rPr>
  </w:style>
  <w:style w:type="paragraph" w:styleId="22">
    <w:name w:val="toc 4"/>
    <w:basedOn w:val="1"/>
    <w:next w:val="1"/>
    <w:autoRedefine/>
    <w:unhideWhenUsed/>
    <w:qFormat/>
    <w:uiPriority w:val="39"/>
    <w:pPr>
      <w:ind w:left="1260" w:leftChars="600"/>
    </w:pPr>
  </w:style>
  <w:style w:type="paragraph" w:styleId="23">
    <w:name w:val="toc 6"/>
    <w:basedOn w:val="1"/>
    <w:next w:val="1"/>
    <w:autoRedefine/>
    <w:unhideWhenUsed/>
    <w:qFormat/>
    <w:uiPriority w:val="39"/>
    <w:pPr>
      <w:ind w:left="2100" w:leftChars="1000"/>
    </w:pPr>
  </w:style>
  <w:style w:type="paragraph" w:styleId="24">
    <w:name w:val="toc 2"/>
    <w:basedOn w:val="1"/>
    <w:next w:val="1"/>
    <w:autoRedefine/>
    <w:unhideWhenUsed/>
    <w:qFormat/>
    <w:uiPriority w:val="39"/>
    <w:pPr>
      <w:tabs>
        <w:tab w:val="left" w:pos="1260"/>
        <w:tab w:val="right" w:leader="dot" w:pos="8296"/>
      </w:tabs>
      <w:ind w:left="420" w:leftChars="200"/>
    </w:pPr>
    <w:rPr>
      <w:rFonts w:asciiTheme="majorEastAsia" w:hAnsiTheme="majorEastAsia" w:eastAsiaTheme="majorEastAsia" w:cstheme="majorBidi"/>
      <w:b/>
      <w:bCs/>
      <w:sz w:val="18"/>
      <w:szCs w:val="18"/>
    </w:rPr>
  </w:style>
  <w:style w:type="paragraph" w:styleId="25">
    <w:name w:val="toc 9"/>
    <w:basedOn w:val="1"/>
    <w:next w:val="1"/>
    <w:autoRedefine/>
    <w:unhideWhenUsed/>
    <w:qFormat/>
    <w:uiPriority w:val="39"/>
    <w:pPr>
      <w:ind w:left="3360" w:leftChars="1600"/>
    </w:pPr>
  </w:style>
  <w:style w:type="paragraph" w:styleId="26">
    <w:name w:val="Normal (Web)"/>
    <w:basedOn w:val="1"/>
    <w:qFormat/>
    <w:uiPriority w:val="99"/>
    <w:pPr>
      <w:spacing w:beforeAutospacing="1" w:afterAutospacing="1"/>
      <w:jc w:val="left"/>
    </w:pPr>
    <w:rPr>
      <w:rFonts w:ascii="Times New Roman" w:hAnsi="Times New Roman" w:eastAsia="宋体" w:cs="Times New Roman"/>
      <w:kern w:val="0"/>
      <w:sz w:val="24"/>
      <w:szCs w:val="24"/>
    </w:rPr>
  </w:style>
  <w:style w:type="paragraph" w:styleId="27">
    <w:name w:val="Title"/>
    <w:basedOn w:val="1"/>
    <w:next w:val="1"/>
    <w:link w:val="67"/>
    <w:qFormat/>
    <w:uiPriority w:val="0"/>
    <w:pPr>
      <w:spacing w:before="240" w:after="60"/>
      <w:jc w:val="center"/>
      <w:outlineLvl w:val="0"/>
    </w:pPr>
    <w:rPr>
      <w:rFonts w:asciiTheme="majorHAnsi" w:hAnsiTheme="majorHAnsi" w:eastAsiaTheme="majorEastAsia" w:cstheme="majorBidi"/>
      <w:b/>
      <w:bCs/>
      <w:sz w:val="32"/>
      <w:szCs w:val="32"/>
    </w:rPr>
  </w:style>
  <w:style w:type="paragraph" w:styleId="28">
    <w:name w:val="annotation subject"/>
    <w:basedOn w:val="13"/>
    <w:next w:val="13"/>
    <w:link w:val="47"/>
    <w:semiHidden/>
    <w:unhideWhenUsed/>
    <w:qFormat/>
    <w:uiPriority w:val="99"/>
    <w:rPr>
      <w:b/>
      <w:bCs/>
    </w:rPr>
  </w:style>
  <w:style w:type="table" w:styleId="30">
    <w:name w:val="Table Grid"/>
    <w:basedOn w:val="2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qFormat/>
    <w:uiPriority w:val="22"/>
    <w:rPr>
      <w:b/>
      <w:bCs/>
    </w:rPr>
  </w:style>
  <w:style w:type="character" w:styleId="33">
    <w:name w:val="FollowedHyperlink"/>
    <w:basedOn w:val="31"/>
    <w:semiHidden/>
    <w:unhideWhenUsed/>
    <w:qFormat/>
    <w:uiPriority w:val="99"/>
    <w:rPr>
      <w:color w:val="800080"/>
      <w:u w:val="single"/>
    </w:rPr>
  </w:style>
  <w:style w:type="character" w:styleId="34">
    <w:name w:val="Hyperlink"/>
    <w:basedOn w:val="31"/>
    <w:unhideWhenUsed/>
    <w:qFormat/>
    <w:uiPriority w:val="99"/>
    <w:rPr>
      <w:color w:val="0000FF" w:themeColor="hyperlink"/>
      <w:u w:val="single"/>
      <w14:textFill>
        <w14:solidFill>
          <w14:schemeClr w14:val="hlink"/>
        </w14:solidFill>
      </w14:textFill>
    </w:rPr>
  </w:style>
  <w:style w:type="character" w:styleId="35">
    <w:name w:val="annotation reference"/>
    <w:basedOn w:val="31"/>
    <w:unhideWhenUsed/>
    <w:qFormat/>
    <w:uiPriority w:val="0"/>
    <w:rPr>
      <w:sz w:val="21"/>
      <w:szCs w:val="21"/>
    </w:rPr>
  </w:style>
  <w:style w:type="character" w:customStyle="1" w:styleId="36">
    <w:name w:val="标题 2 字符"/>
    <w:basedOn w:val="31"/>
    <w:link w:val="3"/>
    <w:qFormat/>
    <w:uiPriority w:val="9"/>
    <w:rPr>
      <w:rFonts w:asciiTheme="majorHAnsi" w:hAnsiTheme="majorHAnsi" w:eastAsiaTheme="majorEastAsia" w:cstheme="majorBidi"/>
      <w:b/>
      <w:bCs/>
      <w:kern w:val="2"/>
      <w:sz w:val="32"/>
      <w:szCs w:val="32"/>
    </w:rPr>
  </w:style>
  <w:style w:type="character" w:customStyle="1" w:styleId="37">
    <w:name w:val="标题 3 字符"/>
    <w:basedOn w:val="31"/>
    <w:link w:val="4"/>
    <w:qFormat/>
    <w:uiPriority w:val="9"/>
    <w:rPr>
      <w:b/>
      <w:bCs/>
      <w:kern w:val="2"/>
      <w:sz w:val="32"/>
      <w:szCs w:val="32"/>
    </w:rPr>
  </w:style>
  <w:style w:type="character" w:customStyle="1" w:styleId="38">
    <w:name w:val="标题 4 字符"/>
    <w:basedOn w:val="31"/>
    <w:link w:val="5"/>
    <w:qFormat/>
    <w:uiPriority w:val="9"/>
    <w:rPr>
      <w:rFonts w:asciiTheme="majorHAnsi" w:hAnsiTheme="majorHAnsi" w:eastAsiaTheme="majorEastAsia" w:cstheme="majorBidi"/>
      <w:b/>
      <w:bCs/>
      <w:kern w:val="2"/>
      <w:sz w:val="28"/>
      <w:szCs w:val="28"/>
    </w:rPr>
  </w:style>
  <w:style w:type="character" w:customStyle="1" w:styleId="39">
    <w:name w:val="标题 5 字符"/>
    <w:basedOn w:val="31"/>
    <w:link w:val="6"/>
    <w:qFormat/>
    <w:uiPriority w:val="9"/>
    <w:rPr>
      <w:b/>
      <w:bCs/>
      <w:kern w:val="2"/>
      <w:sz w:val="28"/>
      <w:szCs w:val="28"/>
    </w:rPr>
  </w:style>
  <w:style w:type="character" w:customStyle="1" w:styleId="40">
    <w:name w:val="标题 6 字符"/>
    <w:basedOn w:val="31"/>
    <w:link w:val="7"/>
    <w:qFormat/>
    <w:uiPriority w:val="9"/>
    <w:rPr>
      <w:rFonts w:asciiTheme="majorHAnsi" w:hAnsiTheme="majorHAnsi" w:eastAsiaTheme="majorEastAsia" w:cstheme="majorBidi"/>
      <w:b/>
      <w:bCs/>
      <w:kern w:val="2"/>
      <w:sz w:val="24"/>
      <w:szCs w:val="24"/>
    </w:rPr>
  </w:style>
  <w:style w:type="character" w:customStyle="1" w:styleId="41">
    <w:name w:val="页脚 字符"/>
    <w:basedOn w:val="31"/>
    <w:link w:val="19"/>
    <w:qFormat/>
    <w:uiPriority w:val="99"/>
    <w:rPr>
      <w:sz w:val="18"/>
      <w:szCs w:val="18"/>
    </w:rPr>
  </w:style>
  <w:style w:type="character" w:customStyle="1" w:styleId="42">
    <w:name w:val="页眉 字符"/>
    <w:basedOn w:val="31"/>
    <w:link w:val="20"/>
    <w:semiHidden/>
    <w:qFormat/>
    <w:uiPriority w:val="0"/>
    <w:rPr>
      <w:sz w:val="18"/>
      <w:szCs w:val="18"/>
    </w:rPr>
  </w:style>
  <w:style w:type="paragraph" w:styleId="43">
    <w:name w:val="List Paragraph"/>
    <w:basedOn w:val="1"/>
    <w:link w:val="44"/>
    <w:qFormat/>
    <w:uiPriority w:val="99"/>
    <w:pPr>
      <w:ind w:firstLine="420" w:firstLineChars="200"/>
    </w:pPr>
  </w:style>
  <w:style w:type="character" w:customStyle="1" w:styleId="44">
    <w:name w:val="列表段落 字符"/>
    <w:basedOn w:val="31"/>
    <w:link w:val="43"/>
    <w:qFormat/>
    <w:uiPriority w:val="99"/>
    <w:rPr>
      <w:kern w:val="2"/>
      <w:sz w:val="21"/>
      <w:szCs w:val="22"/>
    </w:rPr>
  </w:style>
  <w:style w:type="character" w:customStyle="1" w:styleId="45">
    <w:name w:val="批注框文本 字符"/>
    <w:basedOn w:val="31"/>
    <w:link w:val="18"/>
    <w:semiHidden/>
    <w:qFormat/>
    <w:uiPriority w:val="99"/>
    <w:rPr>
      <w:kern w:val="2"/>
      <w:sz w:val="18"/>
      <w:szCs w:val="18"/>
    </w:rPr>
  </w:style>
  <w:style w:type="character" w:customStyle="1" w:styleId="46">
    <w:name w:val="批注文字 字符1"/>
    <w:basedOn w:val="31"/>
    <w:link w:val="13"/>
    <w:qFormat/>
    <w:uiPriority w:val="0"/>
    <w:rPr>
      <w:kern w:val="2"/>
      <w:sz w:val="21"/>
      <w:szCs w:val="22"/>
    </w:rPr>
  </w:style>
  <w:style w:type="character" w:customStyle="1" w:styleId="47">
    <w:name w:val="批注主题 字符"/>
    <w:basedOn w:val="46"/>
    <w:link w:val="28"/>
    <w:semiHidden/>
    <w:qFormat/>
    <w:uiPriority w:val="99"/>
    <w:rPr>
      <w:b/>
      <w:bCs/>
      <w:kern w:val="2"/>
      <w:sz w:val="21"/>
      <w:szCs w:val="22"/>
    </w:rPr>
  </w:style>
  <w:style w:type="table" w:customStyle="1" w:styleId="48">
    <w:name w:val="网格型1"/>
    <w:basedOn w:val="29"/>
    <w:qFormat/>
    <w:uiPriority w:val="0"/>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9">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paragraph" w:customStyle="1" w:styleId="50">
    <w:name w:val="Revision"/>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51">
    <w:name w:val="未处理的提及1"/>
    <w:basedOn w:val="31"/>
    <w:semiHidden/>
    <w:unhideWhenUsed/>
    <w:qFormat/>
    <w:uiPriority w:val="99"/>
    <w:rPr>
      <w:color w:val="605E5C"/>
      <w:shd w:val="clear" w:color="auto" w:fill="E1DFDD"/>
    </w:rPr>
  </w:style>
  <w:style w:type="paragraph" w:customStyle="1" w:styleId="52">
    <w:name w:val="_Style 46"/>
    <w:basedOn w:val="1"/>
    <w:next w:val="43"/>
    <w:qFormat/>
    <w:uiPriority w:val="34"/>
    <w:pPr>
      <w:spacing w:line="360" w:lineRule="auto"/>
      <w:ind w:firstLine="420" w:firstLineChars="200"/>
    </w:pPr>
    <w:rPr>
      <w:rFonts w:ascii="Calibri" w:hAnsi="Calibri" w:eastAsia="宋体" w:cs="Times New Roman"/>
      <w:sz w:val="24"/>
    </w:rPr>
  </w:style>
  <w:style w:type="character" w:customStyle="1" w:styleId="53">
    <w:name w:val="批注文字 Char"/>
    <w:qFormat/>
    <w:uiPriority w:val="0"/>
    <w:rPr>
      <w:rFonts w:ascii="Times New Roman" w:hAnsi="Times New Roman" w:eastAsia="微软雅黑"/>
      <w:kern w:val="2"/>
      <w:sz w:val="24"/>
      <w:szCs w:val="24"/>
    </w:rPr>
  </w:style>
  <w:style w:type="paragraph" w:customStyle="1" w:styleId="54">
    <w:name w:val="列出段落3"/>
    <w:basedOn w:val="1"/>
    <w:qFormat/>
    <w:uiPriority w:val="0"/>
    <w:pPr>
      <w:spacing w:line="360" w:lineRule="auto"/>
      <w:ind w:firstLine="200" w:firstLineChars="200"/>
    </w:pPr>
    <w:rPr>
      <w:rFonts w:ascii="Arial" w:hAnsi="Arial" w:eastAsia="宋体" w:cs="Arial"/>
      <w:spacing w:val="-6"/>
      <w:kern w:val="0"/>
      <w:sz w:val="20"/>
      <w:szCs w:val="20"/>
      <w:lang w:eastAsia="en-US" w:bidi="en-US"/>
    </w:rPr>
  </w:style>
  <w:style w:type="character" w:customStyle="1" w:styleId="55">
    <w:name w:val="未处理的提及2"/>
    <w:basedOn w:val="31"/>
    <w:semiHidden/>
    <w:unhideWhenUsed/>
    <w:qFormat/>
    <w:uiPriority w:val="99"/>
    <w:rPr>
      <w:color w:val="605E5C"/>
      <w:shd w:val="clear" w:color="auto" w:fill="E1DFDD"/>
    </w:rPr>
  </w:style>
  <w:style w:type="character" w:customStyle="1" w:styleId="56">
    <w:name w:val="列出段落 字符"/>
    <w:link w:val="57"/>
    <w:qFormat/>
    <w:uiPriority w:val="34"/>
    <w:rPr>
      <w:rFonts w:ascii="Calibri" w:hAnsi="Calibri"/>
      <w:kern w:val="2"/>
      <w:sz w:val="21"/>
      <w:szCs w:val="22"/>
    </w:rPr>
  </w:style>
  <w:style w:type="paragraph" w:customStyle="1" w:styleId="57">
    <w:name w:val="_Style 88"/>
    <w:basedOn w:val="1"/>
    <w:next w:val="43"/>
    <w:link w:val="56"/>
    <w:qFormat/>
    <w:uiPriority w:val="34"/>
    <w:pPr>
      <w:ind w:firstLine="420" w:firstLineChars="200"/>
    </w:pPr>
    <w:rPr>
      <w:rFonts w:ascii="Calibri" w:hAnsi="Calibri"/>
    </w:rPr>
  </w:style>
  <w:style w:type="character" w:customStyle="1" w:styleId="58">
    <w:name w:val="批注文字 字符"/>
    <w:qFormat/>
    <w:uiPriority w:val="0"/>
    <w:rPr>
      <w:sz w:val="24"/>
    </w:rPr>
  </w:style>
  <w:style w:type="character" w:customStyle="1" w:styleId="59">
    <w:name w:val="标题 7 字符"/>
    <w:basedOn w:val="31"/>
    <w:link w:val="8"/>
    <w:qFormat/>
    <w:uiPriority w:val="9"/>
    <w:rPr>
      <w:b/>
      <w:bCs/>
      <w:kern w:val="2"/>
      <w:sz w:val="24"/>
      <w:szCs w:val="24"/>
    </w:rPr>
  </w:style>
  <w:style w:type="paragraph" w:customStyle="1" w:styleId="60">
    <w:name w:val="_Style 54"/>
    <w:basedOn w:val="1"/>
    <w:next w:val="43"/>
    <w:qFormat/>
    <w:uiPriority w:val="34"/>
    <w:pPr>
      <w:spacing w:line="360" w:lineRule="auto"/>
      <w:ind w:firstLine="420" w:firstLineChars="200"/>
    </w:pPr>
    <w:rPr>
      <w:rFonts w:ascii="Calibri" w:hAnsi="Calibri" w:eastAsia="宋体" w:cs="Times New Roman"/>
      <w:sz w:val="24"/>
    </w:rPr>
  </w:style>
  <w:style w:type="character" w:customStyle="1" w:styleId="61">
    <w:name w:val="未处理的提及3"/>
    <w:basedOn w:val="31"/>
    <w:semiHidden/>
    <w:unhideWhenUsed/>
    <w:qFormat/>
    <w:uiPriority w:val="99"/>
    <w:rPr>
      <w:color w:val="605E5C"/>
      <w:shd w:val="clear" w:color="auto" w:fill="E1DFDD"/>
    </w:rPr>
  </w:style>
  <w:style w:type="paragraph" w:customStyle="1" w:styleId="62">
    <w:name w:val="MY正文"/>
    <w:basedOn w:val="1"/>
    <w:qFormat/>
    <w:uiPriority w:val="0"/>
    <w:pPr>
      <w:spacing w:line="400" w:lineRule="exact"/>
      <w:ind w:firstLine="425" w:firstLineChars="177"/>
    </w:pPr>
    <w:rPr>
      <w:rFonts w:cs="Times New Roman"/>
      <w:szCs w:val="24"/>
      <w:lang w:eastAsia="fr-FR"/>
    </w:rPr>
  </w:style>
  <w:style w:type="paragraph" w:customStyle="1" w:styleId="63">
    <w:name w:val="!BT正文"/>
    <w:qFormat/>
    <w:uiPriority w:val="0"/>
    <w:pPr>
      <w:spacing w:line="360" w:lineRule="auto"/>
      <w:ind w:firstLine="200" w:firstLineChars="200"/>
    </w:pPr>
    <w:rPr>
      <w:rFonts w:ascii="宋体" w:hAnsi="宋体" w:eastAsia="宋体" w:cs="Times New Roman"/>
      <w:kern w:val="2"/>
      <w:sz w:val="24"/>
      <w:szCs w:val="22"/>
      <w:lang w:val="en-US" w:eastAsia="zh-CN" w:bidi="ar-SA"/>
    </w:rPr>
  </w:style>
  <w:style w:type="character" w:customStyle="1" w:styleId="64">
    <w:name w:val="未处理的提及4"/>
    <w:basedOn w:val="31"/>
    <w:semiHidden/>
    <w:unhideWhenUsed/>
    <w:qFormat/>
    <w:uiPriority w:val="99"/>
    <w:rPr>
      <w:color w:val="605E5C"/>
      <w:shd w:val="clear" w:color="auto" w:fill="E1DFDD"/>
    </w:rPr>
  </w:style>
  <w:style w:type="character" w:customStyle="1" w:styleId="65">
    <w:name w:val="标题 8 字符"/>
    <w:basedOn w:val="31"/>
    <w:link w:val="9"/>
    <w:qFormat/>
    <w:uiPriority w:val="99"/>
    <w:rPr>
      <w:rFonts w:eastAsia="宋体" w:asciiTheme="majorHAnsi" w:hAnsiTheme="majorHAnsi" w:cstheme="majorBidi"/>
      <w:b/>
      <w:kern w:val="2"/>
      <w:sz w:val="24"/>
      <w:szCs w:val="24"/>
    </w:rPr>
  </w:style>
  <w:style w:type="character" w:customStyle="1" w:styleId="66">
    <w:name w:val="标题 9 字符"/>
    <w:basedOn w:val="31"/>
    <w:link w:val="10"/>
    <w:qFormat/>
    <w:uiPriority w:val="99"/>
    <w:rPr>
      <w:rFonts w:asciiTheme="majorHAnsi" w:hAnsiTheme="majorHAnsi" w:eastAsiaTheme="majorEastAsia" w:cstheme="majorBidi"/>
      <w:kern w:val="2"/>
      <w:sz w:val="24"/>
      <w:szCs w:val="21"/>
    </w:rPr>
  </w:style>
  <w:style w:type="character" w:customStyle="1" w:styleId="67">
    <w:name w:val="标题 字符"/>
    <w:basedOn w:val="31"/>
    <w:link w:val="27"/>
    <w:qFormat/>
    <w:uiPriority w:val="10"/>
    <w:rPr>
      <w:rFonts w:asciiTheme="majorHAnsi" w:hAnsiTheme="majorHAnsi" w:eastAsiaTheme="majorEastAsia" w:cstheme="majorBidi"/>
      <w:b/>
      <w:bCs/>
      <w:kern w:val="2"/>
      <w:sz w:val="32"/>
      <w:szCs w:val="32"/>
    </w:rPr>
  </w:style>
  <w:style w:type="character" w:customStyle="1" w:styleId="68">
    <w:name w:val="未处理的提及5"/>
    <w:basedOn w:val="31"/>
    <w:semiHidden/>
    <w:unhideWhenUsed/>
    <w:qFormat/>
    <w:uiPriority w:val="99"/>
    <w:rPr>
      <w:color w:val="605E5C"/>
      <w:shd w:val="clear" w:color="auto" w:fill="E1DFDD"/>
    </w:rPr>
  </w:style>
  <w:style w:type="paragraph" w:customStyle="1" w:styleId="69">
    <w:name w:val="1.1dieji"/>
    <w:basedOn w:val="43"/>
    <w:link w:val="70"/>
    <w:qFormat/>
    <w:uiPriority w:val="0"/>
    <w:pPr>
      <w:spacing w:before="280" w:after="280" w:line="360" w:lineRule="auto"/>
      <w:ind w:left="1320" w:firstLine="0" w:firstLineChars="0"/>
    </w:pPr>
    <w:rPr>
      <w:rFonts w:ascii="宋体" w:hAnsi="宋体" w:eastAsia="宋体" w:cs="Times New Roman"/>
      <w:b/>
      <w:sz w:val="28"/>
      <w:szCs w:val="28"/>
    </w:rPr>
  </w:style>
  <w:style w:type="character" w:customStyle="1" w:styleId="70">
    <w:name w:val="1.1dieji 字符"/>
    <w:link w:val="69"/>
    <w:qFormat/>
    <w:uiPriority w:val="0"/>
    <w:rPr>
      <w:rFonts w:ascii="宋体" w:hAnsi="宋体" w:eastAsia="宋体" w:cs="Times New Roman"/>
      <w:b/>
      <w:kern w:val="2"/>
      <w:sz w:val="28"/>
      <w:szCs w:val="28"/>
    </w:rPr>
  </w:style>
  <w:style w:type="paragraph" w:customStyle="1" w:styleId="71">
    <w:name w:val="样式1"/>
    <w:basedOn w:val="69"/>
    <w:link w:val="73"/>
    <w:qFormat/>
    <w:uiPriority w:val="0"/>
    <w:pPr>
      <w:ind w:left="0"/>
    </w:pPr>
    <w:rPr>
      <w:color w:val="000000"/>
      <w:szCs w:val="22"/>
    </w:rPr>
  </w:style>
  <w:style w:type="paragraph" w:customStyle="1" w:styleId="72">
    <w:name w:val="三级不带标题"/>
    <w:basedOn w:val="1"/>
    <w:link w:val="74"/>
    <w:qFormat/>
    <w:uiPriority w:val="0"/>
    <w:pPr>
      <w:tabs>
        <w:tab w:val="left" w:pos="1843"/>
      </w:tabs>
      <w:spacing w:before="280" w:after="290" w:line="372" w:lineRule="auto"/>
      <w:ind w:left="1740" w:hanging="420"/>
    </w:pPr>
    <w:rPr>
      <w:rFonts w:ascii="Times New Roman" w:hAnsi="Times New Roman" w:eastAsia="宋体" w:cs="Times New Roman"/>
      <w:b/>
      <w:sz w:val="28"/>
      <w:szCs w:val="28"/>
    </w:rPr>
  </w:style>
  <w:style w:type="character" w:customStyle="1" w:styleId="73">
    <w:name w:val="样式1 字符"/>
    <w:basedOn w:val="70"/>
    <w:link w:val="71"/>
    <w:qFormat/>
    <w:uiPriority w:val="0"/>
    <w:rPr>
      <w:rFonts w:ascii="宋体" w:hAnsi="宋体" w:eastAsia="宋体" w:cs="Times New Roman"/>
      <w:color w:val="000000"/>
      <w:kern w:val="2"/>
      <w:sz w:val="28"/>
      <w:szCs w:val="22"/>
    </w:rPr>
  </w:style>
  <w:style w:type="character" w:customStyle="1" w:styleId="74">
    <w:name w:val="三级不带标题 字符"/>
    <w:link w:val="72"/>
    <w:qFormat/>
    <w:uiPriority w:val="0"/>
    <w:rPr>
      <w:rFonts w:ascii="Times New Roman" w:hAnsi="Times New Roman" w:eastAsia="宋体" w:cs="Times New Roman"/>
      <w:b/>
      <w:kern w:val="2"/>
      <w:sz w:val="28"/>
      <w:szCs w:val="28"/>
    </w:rPr>
  </w:style>
  <w:style w:type="paragraph" w:customStyle="1" w:styleId="75">
    <w:name w:val="样式2"/>
    <w:basedOn w:val="72"/>
    <w:link w:val="76"/>
    <w:qFormat/>
    <w:uiPriority w:val="0"/>
    <w:pPr>
      <w:ind w:left="0" w:firstLine="0"/>
    </w:pPr>
    <w:rPr>
      <w:rFonts w:ascii="宋体" w:hAnsi="宋体"/>
      <w:szCs w:val="24"/>
    </w:rPr>
  </w:style>
  <w:style w:type="character" w:customStyle="1" w:styleId="76">
    <w:name w:val="样式2 字符"/>
    <w:basedOn w:val="74"/>
    <w:link w:val="75"/>
    <w:qFormat/>
    <w:uiPriority w:val="0"/>
    <w:rPr>
      <w:rFonts w:ascii="宋体" w:hAnsi="宋体" w:eastAsia="宋体" w:cs="Times New Roman"/>
      <w:kern w:val="2"/>
      <w:sz w:val="28"/>
      <w:szCs w:val="24"/>
    </w:rPr>
  </w:style>
  <w:style w:type="character" w:customStyle="1" w:styleId="77">
    <w:name w:val="未处理的提及6"/>
    <w:basedOn w:val="31"/>
    <w:semiHidden/>
    <w:unhideWhenUsed/>
    <w:qFormat/>
    <w:uiPriority w:val="99"/>
    <w:rPr>
      <w:color w:val="605E5C"/>
      <w:shd w:val="clear" w:color="auto" w:fill="E1DFDD"/>
    </w:rPr>
  </w:style>
  <w:style w:type="character" w:customStyle="1" w:styleId="78">
    <w:name w:val="未处理的提及7"/>
    <w:basedOn w:val="31"/>
    <w:semiHidden/>
    <w:unhideWhenUsed/>
    <w:qFormat/>
    <w:uiPriority w:val="99"/>
    <w:rPr>
      <w:color w:val="605E5C"/>
      <w:shd w:val="clear" w:color="auto" w:fill="E1DFDD"/>
    </w:rPr>
  </w:style>
  <w:style w:type="character" w:customStyle="1" w:styleId="79">
    <w:name w:val="标题 1 字符"/>
    <w:basedOn w:val="31"/>
    <w:link w:val="2"/>
    <w:qFormat/>
    <w:uiPriority w:val="9"/>
    <w:rPr>
      <w:b/>
      <w:bCs/>
      <w:kern w:val="44"/>
      <w:sz w:val="44"/>
      <w:szCs w:val="44"/>
    </w:rPr>
  </w:style>
  <w:style w:type="paragraph" w:customStyle="1" w:styleId="80">
    <w:name w:val="msonormal"/>
    <w:basedOn w:val="1"/>
    <w:qFormat/>
    <w:uiPriority w:val="0"/>
    <w:pPr>
      <w:spacing w:before="100" w:beforeAutospacing="1" w:after="100" w:afterAutospacing="1"/>
      <w:jc w:val="left"/>
    </w:pPr>
    <w:rPr>
      <w:rFonts w:ascii="Times New Roman" w:hAnsi="Times New Roman" w:eastAsia="宋体" w:cs="Times New Roman"/>
      <w:kern w:val="0"/>
      <w:sz w:val="24"/>
      <w:szCs w:val="24"/>
    </w:rPr>
  </w:style>
  <w:style w:type="paragraph" w:customStyle="1" w:styleId="81">
    <w:name w:val="表格内容"/>
    <w:basedOn w:val="1"/>
    <w:qFormat/>
    <w:uiPriority w:val="0"/>
    <w:rPr>
      <w:rFonts w:ascii="Times New Roman" w:hAnsi="Times New Roman" w:eastAsia="宋体" w:cs="Times New Roman"/>
      <w:szCs w:val="24"/>
      <w:lang w:eastAsia="fr-FR"/>
    </w:rPr>
  </w:style>
  <w:style w:type="paragraph" w:customStyle="1" w:styleId="82">
    <w:name w:val="修订1"/>
    <w:semiHidden/>
    <w:qFormat/>
    <w:uiPriority w:val="99"/>
    <w:rPr>
      <w:rFonts w:ascii="Times New Roman" w:hAnsi="Times New Roman" w:eastAsia="宋体" w:cs="Times New Roman"/>
      <w:kern w:val="2"/>
      <w:sz w:val="21"/>
      <w:szCs w:val="24"/>
      <w:lang w:val="en-US" w:eastAsia="zh-CN" w:bidi="ar-SA"/>
    </w:rPr>
  </w:style>
  <w:style w:type="paragraph" w:customStyle="1" w:styleId="83">
    <w:name w:val="列出段落1"/>
    <w:basedOn w:val="1"/>
    <w:qFormat/>
    <w:uiPriority w:val="0"/>
    <w:pPr>
      <w:ind w:firstLine="200" w:firstLineChars="200"/>
    </w:pPr>
    <w:rPr>
      <w:rFonts w:ascii="Book Antiqua" w:hAnsi="Book Antiqua" w:eastAsia="宋体" w:cs="Times New Roman"/>
    </w:rPr>
  </w:style>
  <w:style w:type="character" w:customStyle="1" w:styleId="84">
    <w:name w:val="标题 字符1"/>
    <w:qFormat/>
    <w:locked/>
    <w:uiPriority w:val="0"/>
    <w:rPr>
      <w:rFonts w:ascii="Cambria" w:hAnsi="Cambria" w:eastAsia="宋体" w:cs="Times New Roman"/>
      <w:b/>
      <w:bCs/>
      <w:kern w:val="2"/>
      <w:sz w:val="32"/>
      <w:szCs w:val="32"/>
    </w:rPr>
  </w:style>
  <w:style w:type="table" w:customStyle="1" w:styleId="85">
    <w:name w:val="网格型2"/>
    <w:basedOn w:val="29"/>
    <w:qFormat/>
    <w:uiPriority w:val="59"/>
    <w:rPr>
      <w:rFonts w:ascii="等线" w:hAnsi="等线" w:eastAsia="等线" w:cs="Times New Roman"/>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6">
    <w:name w:val="表格标题"/>
    <w:basedOn w:val="81"/>
    <w:qFormat/>
    <w:uiPriority w:val="0"/>
    <w:pPr>
      <w:shd w:val="clear" w:color="auto" w:fill="BFBFBF"/>
      <w:spacing w:line="240" w:lineRule="atLeast"/>
      <w:jc w:val="center"/>
    </w:pPr>
    <w:rPr>
      <w:b/>
    </w:rPr>
  </w:style>
  <w:style w:type="character" w:customStyle="1" w:styleId="87">
    <w:name w:val="*正文 Char"/>
    <w:link w:val="88"/>
    <w:qFormat/>
    <w:uiPriority w:val="0"/>
    <w:rPr>
      <w:rFonts w:ascii="Times New Roman" w:hAnsi="Times New Roman" w:eastAsia="宋体" w:cs="Times New Roman"/>
      <w:kern w:val="2"/>
      <w:sz w:val="24"/>
      <w:szCs w:val="28"/>
    </w:rPr>
  </w:style>
  <w:style w:type="paragraph" w:customStyle="1" w:styleId="88">
    <w:name w:val="*正文"/>
    <w:basedOn w:val="1"/>
    <w:link w:val="87"/>
    <w:qFormat/>
    <w:uiPriority w:val="0"/>
    <w:pPr>
      <w:widowControl/>
      <w:spacing w:line="360" w:lineRule="auto"/>
      <w:ind w:firstLine="200" w:firstLineChars="200"/>
      <w:jc w:val="left"/>
    </w:pPr>
    <w:rPr>
      <w:rFonts w:ascii="Times New Roman" w:hAnsi="Times New Roman" w:eastAsia="宋体" w:cs="Times New Roman"/>
      <w:sz w:val="24"/>
      <w:szCs w:val="28"/>
    </w:rPr>
  </w:style>
  <w:style w:type="paragraph" w:customStyle="1" w:styleId="89">
    <w:name w:val="正文缩进两字符"/>
    <w:basedOn w:val="1"/>
    <w:qFormat/>
    <w:uiPriority w:val="0"/>
    <w:pPr>
      <w:ind w:firstLine="200" w:firstLineChars="200"/>
    </w:pPr>
    <w:rPr>
      <w:rFonts w:cs="Times New Roman"/>
      <w:szCs w:val="24"/>
    </w:rPr>
  </w:style>
  <w:style w:type="paragraph" w:customStyle="1" w:styleId="90">
    <w:name w:val="三级不带标题-PA报表"/>
    <w:basedOn w:val="43"/>
    <w:link w:val="91"/>
    <w:qFormat/>
    <w:uiPriority w:val="0"/>
    <w:pPr>
      <w:tabs>
        <w:tab w:val="left" w:pos="1843"/>
      </w:tabs>
      <w:spacing w:line="360" w:lineRule="auto"/>
      <w:ind w:firstLine="0" w:firstLineChars="0"/>
    </w:pPr>
    <w:rPr>
      <w:rFonts w:ascii="宋体" w:hAnsi="宋体" w:eastAsia="宋体" w:cs="Times New Roman"/>
      <w:sz w:val="28"/>
      <w:szCs w:val="28"/>
    </w:rPr>
  </w:style>
  <w:style w:type="character" w:customStyle="1" w:styleId="91">
    <w:name w:val="三级不带标题-PA报表 字符"/>
    <w:basedOn w:val="44"/>
    <w:link w:val="90"/>
    <w:qFormat/>
    <w:uiPriority w:val="0"/>
    <w:rPr>
      <w:rFonts w:ascii="宋体" w:hAnsi="宋体" w:eastAsia="宋体" w:cs="Times New Roman"/>
      <w:kern w:val="2"/>
      <w:sz w:val="28"/>
      <w:szCs w:val="28"/>
    </w:rPr>
  </w:style>
  <w:style w:type="paragraph" w:customStyle="1" w:styleId="92">
    <w:name w:val="_Style 91"/>
    <w:basedOn w:val="1"/>
    <w:next w:val="43"/>
    <w:qFormat/>
    <w:uiPriority w:val="34"/>
    <w:pPr>
      <w:ind w:firstLine="420" w:firstLineChars="200"/>
    </w:pPr>
    <w:rPr>
      <w:rFonts w:ascii="Times New Roman" w:hAnsi="Times New Roman" w:eastAsia="宋体" w:cs="Times New Roman"/>
      <w:szCs w:val="24"/>
    </w:rPr>
  </w:style>
  <w:style w:type="paragraph" w:customStyle="1" w:styleId="93">
    <w:name w:val="样式3"/>
    <w:basedOn w:val="43"/>
    <w:link w:val="94"/>
    <w:qFormat/>
    <w:uiPriority w:val="0"/>
    <w:pPr>
      <w:numPr>
        <w:ilvl w:val="0"/>
        <w:numId w:val="1"/>
      </w:numPr>
      <w:tabs>
        <w:tab w:val="left" w:pos="993"/>
      </w:tabs>
      <w:spacing w:line="360" w:lineRule="auto"/>
      <w:ind w:hanging="774" w:firstLineChars="0"/>
    </w:pPr>
    <w:rPr>
      <w:rFonts w:asciiTheme="minorEastAsia" w:hAnsiTheme="minorEastAsia"/>
      <w:sz w:val="24"/>
      <w:szCs w:val="24"/>
    </w:rPr>
  </w:style>
  <w:style w:type="character" w:customStyle="1" w:styleId="94">
    <w:name w:val="样式3 字符"/>
    <w:basedOn w:val="44"/>
    <w:link w:val="93"/>
    <w:qFormat/>
    <w:uiPriority w:val="0"/>
    <w:rPr>
      <w:rFonts w:asciiTheme="minorEastAsia" w:hAnsiTheme="minorEastAsia"/>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Microsoft_Visio_2003-2010___2.vsd"/><Relationship Id="rId8" Type="http://schemas.openxmlformats.org/officeDocument/2006/relationships/image" Target="media/image2.emf"/><Relationship Id="rId7" Type="http://schemas.openxmlformats.org/officeDocument/2006/relationships/oleObject" Target="embeddings/Microsoft_Visio_2003-2010___1.vsd"/><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numbering" Target="numbering.xml"/><Relationship Id="rId20" Type="http://schemas.openxmlformats.org/officeDocument/2006/relationships/image" Target="media/image11.emf"/><Relationship Id="rId2" Type="http://schemas.openxmlformats.org/officeDocument/2006/relationships/settings" Target="settings.xml"/><Relationship Id="rId19" Type="http://schemas.openxmlformats.org/officeDocument/2006/relationships/oleObject" Target="embeddings/Microsoft_Visio_2003-2010___4.vsd"/><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emf"/><Relationship Id="rId11" Type="http://schemas.openxmlformats.org/officeDocument/2006/relationships/oleObject" Target="embeddings/Microsoft_Visio_2003-2010___3.vsd"/><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ns10="http://schemas.openxmlformats.org/schemaLibrary/2006/main" xmlns:wne="http://schemas.microsoft.com/office/word/2006/wordml" xmlns:c="http://schemas.openxmlformats.org/drawingml/2006/chart" xmlns:ns13="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20="urn:schemas-microsoft-com:office:excel" xmlns:w10="urn:schemas-microsoft-com:office:word" xmlns:ns22="urn:schemas-microsoft-com:office:powerpoint" xmlns:ns24="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etp="http://schemas.microsoft.com/office/webextensions/taskpanes/2010/11" xmlns:we="http://schemas.microsoft.com/office/webextensions/webextension/2010/11" xmlns:ns34="http://schemas.openxmlformats.org/drawingml/2006/compatibility" xmlns:ns35="http://schemas.openxmlformats.org/drawingml/2006/lockedCanvas" SelectedStyle="\APASixthEditionOfficeOnline.xsl" StyleName="APA"/>
</file>

<file path=customXml/itemProps1.xml><?xml version="1.0" encoding="utf-8"?>
<ds:datastoreItem xmlns:ds="http://schemas.openxmlformats.org/officeDocument/2006/customXml" ds:itemID="{116608D1-3127-4BD8-A269-FF664DAA8BE3}">
  <ds:schemaRefs/>
</ds:datastoreItem>
</file>

<file path=docProps/app.xml><?xml version="1.0" encoding="utf-8"?>
<Properties xmlns="http://schemas.openxmlformats.org/officeDocument/2006/extended-properties" xmlns:vt="http://schemas.openxmlformats.org/officeDocument/2006/docPropsVTypes">
  <Template>Normal</Template>
  <Pages>56</Pages>
  <Words>8992</Words>
  <Characters>9206</Characters>
  <Lines>286</Lines>
  <Paragraphs>80</Paragraphs>
  <TotalTime>1</TotalTime>
  <ScaleCrop>false</ScaleCrop>
  <LinksUpToDate>false</LinksUpToDate>
  <CharactersWithSpaces>9235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2025-03-17T09:33:00Z</dcterms:created>
  <dc:creator>Administrator</dc:creator>
  <cp:lastModifiedBy>WPS_1554988788</cp:lastModifiedBy>
  <dcterms:modified xsi:type="dcterms:W3CDTF">2025-04-24T08:07:20Z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eyJoZGlkIjoiM2MzZWFhM2M2NTVkYzMzYzBkYzBmYjhkMjI5MWM3MjEiLCJ1c2VySWQiOiI1MjM4MzE1NjEifQ==</vt:lpwstr>
  </property>
  <property fmtid="{D5CDD505-2E9C-101B-9397-08002B2CF9AE}" pid="4" name="ICV">
    <vt:lpwstr>0FFFF5CB2EF544BC94023FE70E59EB37_13</vt:lpwstr>
  </property>
</Properties>
</file>