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94571">
      <w:pPr>
        <w:pStyle w:val="2"/>
        <w:bidi w:val="0"/>
        <w:jc w:val="center"/>
        <w:rPr>
          <w:rFonts w:hint="eastAsia"/>
        </w:rPr>
      </w:pPr>
      <w:r>
        <w:rPr>
          <w:rFonts w:hint="eastAsia"/>
        </w:rPr>
        <w:t>医院行政办公信息管理系统征询方案</w:t>
      </w:r>
    </w:p>
    <w:p w14:paraId="71D16DA8">
      <w:pPr>
        <w:ind w:firstLine="420" w:firstLineChars="0"/>
        <w:rPr>
          <w:rFonts w:hint="eastAsia"/>
          <w:sz w:val="28"/>
          <w:szCs w:val="28"/>
          <w:lang w:val="en-US" w:eastAsia="zh-CN"/>
        </w:rPr>
      </w:pPr>
      <w:r>
        <w:rPr>
          <w:rFonts w:hint="eastAsia"/>
          <w:sz w:val="28"/>
          <w:szCs w:val="28"/>
          <w:lang w:val="en-US" w:eastAsia="zh-CN"/>
        </w:rPr>
        <w:t>依据现有医院行政科室办公需求，建设以科室办公流程为基础建设，通过流程节点连接各行政科室办公模块进行全流程管理的最终目标，做到流程有状态、做科室有管理、管理有数据的数字信息化，通过信息系统改善医院现有行政办公流程不熟悉，节点办公人员不明确，责任划分模糊，办事流程效率低下的办公现状</w:t>
      </w:r>
      <w:r>
        <w:rPr>
          <w:rFonts w:hint="eastAsia"/>
          <w:sz w:val="28"/>
          <w:szCs w:val="28"/>
        </w:rPr>
        <w:t>建立覆盖公文管理、人事管理、资产管理、财务管理、合同管理、车辆管理、项目管理、采购管理等全方位功能模块</w:t>
      </w:r>
      <w:r>
        <w:rPr>
          <w:rFonts w:hint="eastAsia"/>
          <w:sz w:val="28"/>
          <w:szCs w:val="28"/>
          <w:lang w:val="en-US" w:eastAsia="zh-CN"/>
        </w:rPr>
        <w:t>。</w:t>
      </w:r>
      <w:bookmarkStart w:id="0" w:name="_Toc441559199"/>
      <w:bookmarkStart w:id="1" w:name="_Toc933226397"/>
      <w:bookmarkStart w:id="2" w:name="_Toc1554995957"/>
      <w:bookmarkStart w:id="3" w:name="_Toc203975647"/>
      <w:bookmarkStart w:id="4" w:name="_Toc187386636"/>
      <w:bookmarkStart w:id="5" w:name="_Toc187406009"/>
      <w:bookmarkStart w:id="6" w:name="_Toc902968545"/>
      <w:bookmarkStart w:id="7" w:name="_Toc187358017"/>
      <w:bookmarkStart w:id="8" w:name="_Toc1355910731"/>
      <w:bookmarkStart w:id="9" w:name="_Toc187357958"/>
      <w:bookmarkStart w:id="10" w:name="_Toc742416744"/>
      <w:bookmarkStart w:id="11" w:name="_Toc1316395578"/>
      <w:bookmarkStart w:id="12" w:name="_Toc130632347"/>
      <w:bookmarkStart w:id="13" w:name="_Toc972962572"/>
      <w:bookmarkStart w:id="14" w:name="_Toc2073449765"/>
      <w:bookmarkStart w:id="15" w:name="_Toc578306028"/>
      <w:bookmarkStart w:id="16" w:name="_Toc1038431508"/>
      <w:bookmarkStart w:id="17" w:name="_Toc388347448"/>
      <w:bookmarkStart w:id="18" w:name="_Toc182819438"/>
    </w:p>
    <w:p w14:paraId="16943720">
      <w:pPr>
        <w:ind w:firstLine="420" w:firstLineChars="0"/>
        <w:rPr>
          <w:rFonts w:hint="eastAsia"/>
          <w:sz w:val="28"/>
          <w:szCs w:val="28"/>
          <w:lang w:val="en-US" w:eastAsia="zh-CN"/>
        </w:rPr>
      </w:pPr>
      <w:r>
        <w:rPr>
          <w:rFonts w:hint="eastAsia"/>
          <w:sz w:val="28"/>
          <w:szCs w:val="28"/>
          <w:lang w:val="en-US" w:eastAsia="zh-CN"/>
        </w:rPr>
        <w:t>后续拓展</w:t>
      </w:r>
      <w:r>
        <w:rPr>
          <w:rFonts w:hint="eastAsia"/>
          <w:sz w:val="28"/>
          <w:szCs w:val="28"/>
        </w:rPr>
        <w:t>构建统一的县域医疗机构</w:t>
      </w:r>
      <w:r>
        <w:rPr>
          <w:rFonts w:hint="eastAsia"/>
          <w:sz w:val="28"/>
          <w:szCs w:val="28"/>
          <w:lang w:eastAsia="zh-CN"/>
        </w:rPr>
        <w:t>行政办公</w:t>
      </w:r>
      <w:r>
        <w:rPr>
          <w:rFonts w:hint="eastAsia"/>
          <w:sz w:val="28"/>
          <w:szCs w:val="28"/>
        </w:rPr>
        <w:t>管理平台，包括县人民医院、妇幼保健院、中医院以及各基层卫生院</w:t>
      </w:r>
      <w:r>
        <w:rPr>
          <w:rFonts w:hint="eastAsia"/>
          <w:sz w:val="28"/>
          <w:szCs w:val="28"/>
          <w:lang w:eastAsia="zh-CN"/>
        </w:rPr>
        <w:t>。</w:t>
      </w:r>
      <w:r>
        <w:rPr>
          <w:rFonts w:hint="eastAsia"/>
          <w:sz w:val="28"/>
          <w:szCs w:val="28"/>
        </w:rPr>
        <w:t>覆盖县域内所有医疗机构的管理层、医护人员及基层员工</w:t>
      </w:r>
      <w:r>
        <w:rPr>
          <w:rFonts w:hint="eastAsia"/>
          <w:sz w:val="28"/>
          <w:szCs w:val="28"/>
          <w:lang w:eastAsia="zh-CN"/>
        </w:rPr>
        <w:t>，</w:t>
      </w:r>
      <w:r>
        <w:rPr>
          <w:rFonts w:hint="eastAsia"/>
          <w:sz w:val="28"/>
          <w:szCs w:val="28"/>
        </w:rPr>
        <w:t>提供灵活的分级权限管理，保障不同角色的用户能够高效使用系统，同时控制敏感信息的访问权限，确保系统的规范使用和信息安全</w:t>
      </w:r>
      <w:r>
        <w:rPr>
          <w:rFonts w:hint="eastAsia"/>
          <w:sz w:val="28"/>
          <w:szCs w:val="28"/>
          <w:lang w:eastAsia="zh-CN"/>
        </w:rPr>
        <w:t>，</w:t>
      </w:r>
      <w:r>
        <w:rPr>
          <w:rFonts w:hint="eastAsia"/>
          <w:sz w:val="28"/>
          <w:szCs w:val="28"/>
        </w:rPr>
        <w:t>实现信息互通和高效协同。</w:t>
      </w:r>
    </w:p>
    <w:p w14:paraId="28F657E7">
      <w:pPr>
        <w:pStyle w:val="3"/>
        <w:numPr>
          <w:ilvl w:val="0"/>
          <w:numId w:val="0"/>
        </w:numPr>
        <w:bidi w:val="0"/>
        <w:ind w:leftChars="0"/>
        <w:rPr>
          <w:rFonts w:hint="eastAsia"/>
          <w:b/>
          <w:bCs/>
          <w:lang w:eastAsia="zh-CN"/>
        </w:rPr>
      </w:pPr>
      <w:r>
        <w:rPr>
          <w:rFonts w:hint="eastAsia"/>
          <w:b/>
          <w:bCs/>
          <w:lang w:eastAsia="zh-CN"/>
        </w:rPr>
        <w:t>一、建设目标</w:t>
      </w:r>
    </w:p>
    <w:p w14:paraId="1ED1C662">
      <w:pPr>
        <w:ind w:firstLine="420" w:firstLineChars="0"/>
        <w:rPr>
          <w:rFonts w:hint="eastAsia"/>
          <w:sz w:val="28"/>
          <w:szCs w:val="28"/>
          <w:lang w:eastAsia="zh-CN"/>
        </w:rPr>
      </w:pPr>
      <w:r>
        <w:rPr>
          <w:rFonts w:hint="eastAsia"/>
          <w:sz w:val="28"/>
          <w:szCs w:val="28"/>
          <w:lang w:eastAsia="zh-CN"/>
        </w:rPr>
        <w:t>在行政办公信息管理系统上做到全流程管理，节点科室责任细分档案归档，由发起至结束全流程管理。在中间节点直接接入至信息平台的科室模块，由流程节点科室最相关事项的全状态进行跟进变更，可有效反馈事件进度情况。</w:t>
      </w:r>
    </w:p>
    <w:p w14:paraId="207E1A0D">
      <w:pPr>
        <w:ind w:firstLine="420" w:firstLineChars="0"/>
        <w:rPr>
          <w:rFonts w:hint="eastAsia"/>
          <w:sz w:val="28"/>
          <w:szCs w:val="28"/>
          <w:lang w:eastAsia="zh-CN"/>
        </w:rPr>
      </w:pPr>
      <w:r>
        <w:rPr>
          <w:rFonts w:hint="eastAsia"/>
          <w:sz w:val="28"/>
          <w:szCs w:val="28"/>
          <w:lang w:eastAsia="zh-CN"/>
        </w:rPr>
        <w:t>例如采购流程，起始节点由发起科室提交需求、申请及是否有相关文件要求。流转至采购办，采购办根据申请材料进行审核，并对相关议题在系统上进行标注，收集议题召开采购管理委员会。在经过采购管理委员会讨论后，由采购办对会议决议记录上传至系统，根据会议决议标记该流程终止或是流转下一流程。如下一流程则标注状态为“征询会”并开始对外发公告，在征询会结束后，根据征询结果提交结果及相关参数，后流转至下一步节点招标采购或是院长办公会。若是院长办公会，则院办公室收到采购办提交流程信息制定院长办公会议题，并标注流程状态，在会议结束后根据会议记录更改状态提交至下一流程。如完成上会要求，则流程流转至采购办，采购办标注节点信息后收集材料对外发布招标信息，在招标结束后上传中标信息，节点流转至对接科室，由对接科室对接中标方，根据系统上医院合同模板拟定合同后发送至相关科室审核，审核通过后打印签署合同，并扫描上传至系统，系统自动归档至档案室合同管理模块，后续可对其进行查询。在采购交付完成后中标方开具发票，由流程发起科室对相关发票关联合同上传至系统，节点流转至财务科，系统将对应合同档案及发票流转至财务科发票管理模块，由财务科工作人员对相关发票进行审核并标注付款信息，直至该项目发票款项结清，全流程结束。</w:t>
      </w:r>
    </w:p>
    <w:p w14:paraId="54714F2C">
      <w:pPr>
        <w:numPr>
          <w:ilvl w:val="0"/>
          <w:numId w:val="0"/>
        </w:numPr>
        <w:ind w:firstLine="420" w:firstLineChars="0"/>
        <w:rPr>
          <w:rFonts w:hint="eastAsia"/>
          <w:b/>
          <w:bCs/>
          <w:lang w:val="en-US" w:eastAsia="zh-CN"/>
        </w:rPr>
      </w:pPr>
      <w:r>
        <w:rPr>
          <w:rFonts w:hint="eastAsia"/>
          <w:sz w:val="28"/>
          <w:szCs w:val="28"/>
          <w:lang w:val="en-US" w:eastAsia="zh-CN"/>
        </w:rPr>
        <w:t>全流程的管理便于事件的全程监控，在提醒各节点工作人员下一步该做什么，对于岗位变动后接手该岗位的同事能第一时间知道这个岗位需要做什么。此外涉及流程的相关科室能实时了解事情的进度，方便对后续工作的计划与安排。对于路径上所产生的数据、材料系统能有效的进行整理归档，在便于管理的同时对后续所需的材料查询提供更便捷的途径。</w:t>
      </w:r>
    </w:p>
    <w:p w14:paraId="4FEA216B">
      <w:pPr>
        <w:pStyle w:val="3"/>
        <w:numPr>
          <w:ilvl w:val="0"/>
          <w:numId w:val="0"/>
        </w:numPr>
        <w:bidi w:val="0"/>
        <w:ind w:leftChars="0"/>
        <w:rPr>
          <w:b/>
          <w:bCs/>
        </w:rPr>
      </w:pPr>
      <w:bookmarkStart w:id="112" w:name="_GoBack"/>
      <w:bookmarkEnd w:id="112"/>
      <w:r>
        <w:rPr>
          <w:rFonts w:hint="eastAsia"/>
          <w:b/>
          <w:bCs/>
          <w:lang w:val="en-US" w:eastAsia="zh-CN"/>
        </w:rPr>
        <w:t>二、</w:t>
      </w:r>
      <w:r>
        <w:rPr>
          <w:rFonts w:hint="eastAsia"/>
          <w:b/>
          <w:bCs/>
        </w:rPr>
        <w:t>核心功能模块</w:t>
      </w:r>
      <w:bookmarkEnd w:id="0"/>
      <w:bookmarkEnd w:id="1"/>
      <w:bookmarkEnd w:id="2"/>
      <w:bookmarkEnd w:id="3"/>
      <w:bookmarkEnd w:id="4"/>
      <w:bookmarkEnd w:id="5"/>
      <w:bookmarkEnd w:id="6"/>
      <w:bookmarkEnd w:id="7"/>
      <w:bookmarkEnd w:id="8"/>
      <w:bookmarkEnd w:id="9"/>
      <w:bookmarkEnd w:id="10"/>
      <w:bookmarkEnd w:id="11"/>
    </w:p>
    <w:p w14:paraId="6410F30A">
      <w:pPr>
        <w:pStyle w:val="6"/>
        <w:bidi w:val="0"/>
        <w:rPr>
          <w:rFonts w:hint="eastAsia"/>
        </w:rPr>
      </w:pPr>
      <w:bookmarkStart w:id="19" w:name="_Toc1283948052"/>
      <w:bookmarkStart w:id="20" w:name="_Toc2072886113"/>
      <w:bookmarkStart w:id="21" w:name="_Toc187386637"/>
      <w:r>
        <w:rPr>
          <w:rFonts w:hint="eastAsia"/>
          <w:lang w:val="en-US" w:eastAsia="zh-CN"/>
        </w:rPr>
        <w:t>1、</w:t>
      </w:r>
      <w:r>
        <w:rPr>
          <w:rFonts w:hint="eastAsia"/>
        </w:rPr>
        <w:t>公文管理</w:t>
      </w:r>
      <w:bookmarkEnd w:id="19"/>
      <w:bookmarkEnd w:id="20"/>
      <w:bookmarkEnd w:id="21"/>
    </w:p>
    <w:p w14:paraId="7948B96B">
      <w:pPr>
        <w:rPr>
          <w:rFonts w:hint="eastAsia" w:ascii="宋体" w:hAnsi="宋体" w:eastAsia="宋体" w:cs="宋体"/>
          <w:sz w:val="28"/>
          <w:szCs w:val="28"/>
        </w:rPr>
      </w:pPr>
      <w:bookmarkStart w:id="22" w:name="_Toc187386638"/>
      <w:r>
        <w:rPr>
          <w:rFonts w:hint="eastAsia" w:ascii="宋体" w:hAnsi="宋体" w:eastAsia="宋体" w:cs="宋体"/>
          <w:sz w:val="28"/>
          <w:szCs w:val="28"/>
        </w:rPr>
        <w:t>场景描述：</w:t>
      </w:r>
      <w:bookmarkEnd w:id="22"/>
    </w:p>
    <w:p w14:paraId="75FE488F">
      <w:pPr>
        <w:rPr>
          <w:rFonts w:hint="eastAsia" w:ascii="宋体" w:hAnsi="宋体" w:eastAsia="宋体" w:cs="宋体"/>
          <w:sz w:val="28"/>
          <w:szCs w:val="28"/>
        </w:rPr>
      </w:pPr>
      <w:r>
        <w:rPr>
          <w:rFonts w:hint="eastAsia" w:ascii="宋体" w:hAnsi="宋体" w:eastAsia="宋体" w:cs="宋体"/>
          <w:sz w:val="28"/>
          <w:szCs w:val="28"/>
        </w:rPr>
        <w:t>医院在日常运营中需要处理大量的公文，包括院内通知、行政文件、政策法规、会议纪要等。</w:t>
      </w:r>
    </w:p>
    <w:p w14:paraId="37329E8B">
      <w:pPr>
        <w:rPr>
          <w:rFonts w:hint="eastAsia" w:ascii="宋体" w:hAnsi="宋体" w:eastAsia="宋体" w:cs="宋体"/>
          <w:sz w:val="28"/>
          <w:szCs w:val="28"/>
        </w:rPr>
      </w:pPr>
      <w:bookmarkStart w:id="23" w:name="_Toc187386639"/>
      <w:r>
        <w:rPr>
          <w:rFonts w:hint="eastAsia" w:ascii="宋体" w:hAnsi="宋体" w:eastAsia="宋体" w:cs="宋体"/>
          <w:sz w:val="28"/>
          <w:szCs w:val="28"/>
        </w:rPr>
        <w:t>功能应用：</w:t>
      </w:r>
      <w:bookmarkEnd w:id="23"/>
    </w:p>
    <w:p w14:paraId="2BF9196F">
      <w:pPr>
        <w:rPr>
          <w:rFonts w:hint="eastAsia" w:ascii="宋体" w:hAnsi="宋体" w:eastAsia="宋体" w:cs="宋体"/>
          <w:sz w:val="28"/>
          <w:szCs w:val="28"/>
        </w:rPr>
      </w:pPr>
      <w:r>
        <w:rPr>
          <w:rFonts w:hint="eastAsia" w:ascii="宋体" w:hAnsi="宋体" w:eastAsia="宋体" w:cs="宋体"/>
          <w:sz w:val="28"/>
          <w:szCs w:val="28"/>
        </w:rPr>
        <w:t>公文流转与审批：实现医院内公文的快速流转与电子化审批。院内下发和快速执行，相关审批流程通过系统完成，确保时效性。</w:t>
      </w:r>
    </w:p>
    <w:p w14:paraId="0E517020">
      <w:pPr>
        <w:rPr>
          <w:rFonts w:hint="eastAsia" w:ascii="宋体" w:hAnsi="宋体" w:eastAsia="宋体" w:cs="宋体"/>
          <w:sz w:val="28"/>
          <w:szCs w:val="28"/>
        </w:rPr>
      </w:pPr>
      <w:r>
        <w:rPr>
          <w:rFonts w:hint="eastAsia" w:ascii="宋体" w:hAnsi="宋体" w:eastAsia="宋体" w:cs="宋体"/>
          <w:sz w:val="28"/>
          <w:szCs w:val="28"/>
        </w:rPr>
        <w:t>公文模板管理：提供标准化的公文模板，如会议纪要、请示报告、合同审批等，简化院内文书工作。</w:t>
      </w:r>
    </w:p>
    <w:p w14:paraId="654722F6">
      <w:pPr>
        <w:rPr>
          <w:rFonts w:hint="eastAsia" w:ascii="宋体" w:hAnsi="宋体" w:eastAsia="宋体" w:cs="宋体"/>
          <w:sz w:val="28"/>
          <w:szCs w:val="28"/>
        </w:rPr>
      </w:pPr>
      <w:r>
        <w:rPr>
          <w:rFonts w:hint="eastAsia" w:ascii="宋体" w:hAnsi="宋体" w:eastAsia="宋体" w:cs="宋体"/>
          <w:sz w:val="28"/>
          <w:szCs w:val="28"/>
        </w:rPr>
        <w:t>公文档案存储：将所有公文进行分类存档，支持关键词检索，便于院领导或部门快速查阅历史公文资料。</w:t>
      </w:r>
    </w:p>
    <w:p w14:paraId="75151F11">
      <w:pPr>
        <w:rPr>
          <w:rFonts w:hint="eastAsia" w:ascii="宋体" w:hAnsi="宋体" w:eastAsia="宋体" w:cs="宋体"/>
          <w:sz w:val="28"/>
          <w:szCs w:val="28"/>
        </w:rPr>
      </w:pPr>
      <w:r>
        <w:rPr>
          <w:rFonts w:hint="eastAsia" w:ascii="宋体" w:hAnsi="宋体" w:eastAsia="宋体" w:cs="宋体"/>
          <w:sz w:val="28"/>
          <w:szCs w:val="28"/>
        </w:rPr>
        <w:t>权限控制：对涉密文件设置权限，仅特定人员或部门可访问，提高文件安全性。</w:t>
      </w:r>
    </w:p>
    <w:p w14:paraId="4655B800">
      <w:pPr>
        <w:pStyle w:val="6"/>
        <w:bidi w:val="0"/>
        <w:rPr>
          <w:rFonts w:hint="eastAsia"/>
        </w:rPr>
      </w:pPr>
      <w:bookmarkStart w:id="24" w:name="_Toc187386640"/>
      <w:bookmarkStart w:id="25" w:name="_Toc369695910"/>
      <w:r>
        <w:rPr>
          <w:rFonts w:hint="eastAsia"/>
          <w:lang w:val="en-US" w:eastAsia="zh-CN"/>
        </w:rPr>
        <w:t>2、</w:t>
      </w:r>
      <w:r>
        <w:rPr>
          <w:rFonts w:hint="eastAsia"/>
        </w:rPr>
        <w:t>人事管理</w:t>
      </w:r>
      <w:bookmarkEnd w:id="24"/>
      <w:bookmarkEnd w:id="25"/>
    </w:p>
    <w:p w14:paraId="6180B655">
      <w:pPr>
        <w:rPr>
          <w:rFonts w:hint="eastAsia" w:ascii="宋体" w:hAnsi="宋体" w:eastAsia="宋体" w:cs="宋体"/>
          <w:sz w:val="28"/>
          <w:szCs w:val="28"/>
        </w:rPr>
      </w:pPr>
      <w:bookmarkStart w:id="26" w:name="_Toc187386641"/>
      <w:r>
        <w:rPr>
          <w:rFonts w:hint="eastAsia" w:ascii="宋体" w:hAnsi="宋体" w:eastAsia="宋体" w:cs="宋体"/>
          <w:sz w:val="28"/>
          <w:szCs w:val="28"/>
        </w:rPr>
        <w:t>场景描述：</w:t>
      </w:r>
      <w:bookmarkEnd w:id="26"/>
    </w:p>
    <w:p w14:paraId="21DFCF05">
      <w:pPr>
        <w:rPr>
          <w:rFonts w:hint="eastAsia" w:ascii="宋体" w:hAnsi="宋体" w:eastAsia="宋体" w:cs="宋体"/>
          <w:sz w:val="28"/>
          <w:szCs w:val="28"/>
        </w:rPr>
      </w:pPr>
      <w:r>
        <w:rPr>
          <w:rFonts w:hint="eastAsia" w:ascii="宋体" w:hAnsi="宋体" w:eastAsia="宋体" w:cs="宋体"/>
          <w:sz w:val="28"/>
          <w:szCs w:val="28"/>
        </w:rPr>
        <w:t>医院拥有大量医务人员和行政管理人员，需要进行精细化的人事管理，包括人员档案、考勤、培训和绩效考核等。</w:t>
      </w:r>
    </w:p>
    <w:p w14:paraId="2215BB20">
      <w:pPr>
        <w:rPr>
          <w:rFonts w:hint="eastAsia" w:ascii="宋体" w:hAnsi="宋体" w:eastAsia="宋体" w:cs="宋体"/>
          <w:sz w:val="28"/>
          <w:szCs w:val="28"/>
        </w:rPr>
      </w:pPr>
      <w:bookmarkStart w:id="27" w:name="_Toc187386642"/>
      <w:r>
        <w:rPr>
          <w:rFonts w:hint="eastAsia" w:ascii="宋体" w:hAnsi="宋体" w:eastAsia="宋体" w:cs="宋体"/>
          <w:sz w:val="28"/>
          <w:szCs w:val="28"/>
        </w:rPr>
        <w:t>功能应用：</w:t>
      </w:r>
      <w:bookmarkEnd w:id="27"/>
    </w:p>
    <w:p w14:paraId="36B878F7">
      <w:pPr>
        <w:rPr>
          <w:rFonts w:hint="eastAsia" w:ascii="宋体" w:hAnsi="宋体" w:eastAsia="宋体" w:cs="宋体"/>
          <w:sz w:val="28"/>
          <w:szCs w:val="28"/>
        </w:rPr>
      </w:pPr>
      <w:r>
        <w:rPr>
          <w:rFonts w:hint="eastAsia" w:ascii="宋体" w:hAnsi="宋体" w:eastAsia="宋体" w:cs="宋体"/>
          <w:sz w:val="28"/>
          <w:szCs w:val="28"/>
        </w:rPr>
        <w:t>人员档案管理：存储并维护医务人员和行政人员的档案信息，包括学历、职称、执业资格等，为人事管理和业务分配提供依据。</w:t>
      </w:r>
    </w:p>
    <w:p w14:paraId="5E057A5D">
      <w:pPr>
        <w:rPr>
          <w:rFonts w:hint="eastAsia" w:ascii="宋体" w:hAnsi="宋体" w:eastAsia="宋体" w:cs="宋体"/>
          <w:sz w:val="28"/>
          <w:szCs w:val="28"/>
        </w:rPr>
      </w:pPr>
      <w:r>
        <w:rPr>
          <w:rFonts w:hint="eastAsia" w:ascii="宋体" w:hAnsi="宋体" w:eastAsia="宋体" w:cs="宋体"/>
          <w:sz w:val="28"/>
          <w:szCs w:val="28"/>
        </w:rPr>
        <w:t>考勤与排班：支持医务人员复杂排班管理，如急诊科、手术室等轮班制科室，可实时查看排班情况并统计考勤数据。</w:t>
      </w:r>
    </w:p>
    <w:p w14:paraId="13342B70">
      <w:pPr>
        <w:rPr>
          <w:rFonts w:hint="eastAsia" w:ascii="宋体" w:hAnsi="宋体" w:eastAsia="宋体" w:cs="宋体"/>
          <w:sz w:val="28"/>
          <w:szCs w:val="28"/>
        </w:rPr>
      </w:pPr>
      <w:r>
        <w:rPr>
          <w:rFonts w:hint="eastAsia" w:ascii="宋体" w:hAnsi="宋体" w:eastAsia="宋体" w:cs="宋体"/>
          <w:sz w:val="28"/>
          <w:szCs w:val="28"/>
        </w:rPr>
        <w:t>培训与考核管理：记录医务人员的专业培训信息，支持定期技能考核与绩效评价，例如护士长组织的急救技能考核。</w:t>
      </w:r>
    </w:p>
    <w:p w14:paraId="53731F82">
      <w:pPr>
        <w:rPr>
          <w:rFonts w:hint="eastAsia" w:ascii="宋体" w:hAnsi="宋体" w:eastAsia="宋体" w:cs="宋体"/>
          <w:sz w:val="28"/>
          <w:szCs w:val="28"/>
        </w:rPr>
      </w:pPr>
      <w:r>
        <w:rPr>
          <w:rFonts w:hint="eastAsia" w:ascii="宋体" w:hAnsi="宋体" w:eastAsia="宋体" w:cs="宋体"/>
          <w:sz w:val="28"/>
          <w:szCs w:val="28"/>
        </w:rPr>
        <w:t>合同续签提醒：对医务人员的劳动合同进行电子化管理，并提供到期提醒功能，避免漏签或延迟续签问题。</w:t>
      </w:r>
    </w:p>
    <w:p w14:paraId="028CA46F">
      <w:pPr>
        <w:pStyle w:val="6"/>
        <w:bidi w:val="0"/>
        <w:rPr>
          <w:rFonts w:hint="eastAsia"/>
        </w:rPr>
      </w:pPr>
      <w:bookmarkStart w:id="28" w:name="_Toc187386643"/>
      <w:bookmarkStart w:id="29" w:name="_Toc808968599"/>
      <w:r>
        <w:rPr>
          <w:rFonts w:hint="eastAsia"/>
          <w:lang w:val="en-US" w:eastAsia="zh-CN"/>
        </w:rPr>
        <w:t>3、</w:t>
      </w:r>
      <w:r>
        <w:rPr>
          <w:rFonts w:hint="eastAsia"/>
        </w:rPr>
        <w:t>合同管理</w:t>
      </w:r>
      <w:bookmarkEnd w:id="28"/>
      <w:bookmarkEnd w:id="29"/>
    </w:p>
    <w:p w14:paraId="688CE082">
      <w:pPr>
        <w:rPr>
          <w:rFonts w:hint="eastAsia" w:ascii="宋体" w:hAnsi="宋体" w:eastAsia="宋体" w:cs="宋体"/>
          <w:sz w:val="28"/>
          <w:szCs w:val="28"/>
        </w:rPr>
      </w:pPr>
      <w:bookmarkStart w:id="30" w:name="_Toc187386644"/>
      <w:r>
        <w:rPr>
          <w:rFonts w:hint="eastAsia" w:ascii="宋体" w:hAnsi="宋体" w:eastAsia="宋体" w:cs="宋体"/>
          <w:sz w:val="28"/>
          <w:szCs w:val="28"/>
        </w:rPr>
        <w:t>场景描述：</w:t>
      </w:r>
      <w:bookmarkEnd w:id="30"/>
    </w:p>
    <w:p w14:paraId="7F8DBF2E">
      <w:pPr>
        <w:rPr>
          <w:rFonts w:hint="eastAsia" w:ascii="宋体" w:hAnsi="宋体" w:eastAsia="宋体" w:cs="宋体"/>
          <w:sz w:val="28"/>
          <w:szCs w:val="28"/>
        </w:rPr>
      </w:pPr>
      <w:r>
        <w:rPr>
          <w:rFonts w:hint="eastAsia" w:ascii="宋体" w:hAnsi="宋体" w:eastAsia="宋体" w:cs="宋体"/>
          <w:sz w:val="28"/>
          <w:szCs w:val="28"/>
        </w:rPr>
        <w:t>医院需要管理与药企、设备供应商、工程建设公司等签订的各类合同，确保合同签订、执行和归档的规范性。</w:t>
      </w:r>
    </w:p>
    <w:p w14:paraId="7BEC4463">
      <w:pPr>
        <w:rPr>
          <w:rFonts w:hint="eastAsia" w:ascii="宋体" w:hAnsi="宋体" w:eastAsia="宋体" w:cs="宋体"/>
          <w:sz w:val="28"/>
          <w:szCs w:val="28"/>
        </w:rPr>
      </w:pPr>
      <w:bookmarkStart w:id="31" w:name="_Toc187386645"/>
      <w:r>
        <w:rPr>
          <w:rFonts w:hint="eastAsia" w:ascii="宋体" w:hAnsi="宋体" w:eastAsia="宋体" w:cs="宋体"/>
          <w:sz w:val="28"/>
          <w:szCs w:val="28"/>
        </w:rPr>
        <w:t>功能应用：</w:t>
      </w:r>
      <w:bookmarkEnd w:id="31"/>
    </w:p>
    <w:p w14:paraId="320893C2">
      <w:pPr>
        <w:rPr>
          <w:rFonts w:hint="eastAsia" w:ascii="宋体" w:hAnsi="宋体" w:eastAsia="宋体" w:cs="宋体"/>
          <w:sz w:val="28"/>
          <w:szCs w:val="28"/>
        </w:rPr>
      </w:pPr>
      <w:r>
        <w:rPr>
          <w:rFonts w:hint="eastAsia" w:ascii="宋体" w:hAnsi="宋体" w:eastAsia="宋体" w:cs="宋体"/>
          <w:sz w:val="28"/>
          <w:szCs w:val="28"/>
        </w:rPr>
        <w:t>合同全生命周期管理：从合同起草、审批、签订到归档全流程电子化，提升合同管理效率。例如，与医疗设备供应商签订采购合同，审批环节可快速完成。</w:t>
      </w:r>
    </w:p>
    <w:p w14:paraId="0E1954D1">
      <w:pPr>
        <w:rPr>
          <w:rFonts w:hint="eastAsia" w:ascii="宋体" w:hAnsi="宋体" w:eastAsia="宋体" w:cs="宋体"/>
          <w:sz w:val="28"/>
          <w:szCs w:val="28"/>
        </w:rPr>
      </w:pPr>
      <w:r>
        <w:rPr>
          <w:rFonts w:hint="eastAsia" w:ascii="宋体" w:hAnsi="宋体" w:eastAsia="宋体" w:cs="宋体"/>
          <w:sz w:val="28"/>
          <w:szCs w:val="28"/>
        </w:rPr>
        <w:t>提醒与跟踪：对于重要合同（如药品供应合同）的到期、续签、履约状态，系统自动提醒相关负责人跟进。</w:t>
      </w:r>
    </w:p>
    <w:p w14:paraId="7CD79982">
      <w:pPr>
        <w:rPr>
          <w:rFonts w:hint="eastAsia" w:ascii="宋体" w:hAnsi="宋体" w:eastAsia="宋体" w:cs="宋体"/>
          <w:sz w:val="28"/>
          <w:szCs w:val="28"/>
        </w:rPr>
      </w:pPr>
      <w:r>
        <w:rPr>
          <w:rFonts w:hint="eastAsia" w:ascii="宋体" w:hAnsi="宋体" w:eastAsia="宋体" w:cs="宋体"/>
          <w:sz w:val="28"/>
          <w:szCs w:val="28"/>
        </w:rPr>
        <w:t>多维度检索：支持按合同类型、合作单位、签订日期等条件检索历史合同，方便归档管理与查询。</w:t>
      </w:r>
    </w:p>
    <w:p w14:paraId="76290A48">
      <w:pPr>
        <w:rPr>
          <w:rFonts w:hint="eastAsia" w:ascii="宋体" w:hAnsi="宋体" w:eastAsia="宋体" w:cs="宋体"/>
          <w:sz w:val="28"/>
          <w:szCs w:val="28"/>
        </w:rPr>
      </w:pPr>
      <w:r>
        <w:rPr>
          <w:rFonts w:hint="eastAsia" w:ascii="宋体" w:hAnsi="宋体" w:eastAsia="宋体" w:cs="宋体"/>
          <w:sz w:val="28"/>
          <w:szCs w:val="28"/>
        </w:rPr>
        <w:t>风险监控：对合同中的重要条款（如违约条款）进行标注，帮助法务部门进行风险预警和跟踪。</w:t>
      </w:r>
    </w:p>
    <w:p w14:paraId="02BA9E28">
      <w:pPr>
        <w:pStyle w:val="6"/>
        <w:bidi w:val="0"/>
        <w:rPr>
          <w:rFonts w:hint="eastAsia"/>
        </w:rPr>
      </w:pPr>
      <w:bookmarkStart w:id="32" w:name="_Toc187386646"/>
      <w:bookmarkStart w:id="33" w:name="_Toc187358018"/>
      <w:bookmarkStart w:id="34" w:name="_Toc616274236"/>
      <w:bookmarkStart w:id="35" w:name="_Toc187357959"/>
      <w:r>
        <w:rPr>
          <w:rFonts w:hint="eastAsia"/>
          <w:lang w:val="en-US" w:eastAsia="zh-CN"/>
        </w:rPr>
        <w:t>4、</w:t>
      </w:r>
      <w:r>
        <w:rPr>
          <w:rFonts w:hint="eastAsia"/>
        </w:rPr>
        <w:t>资产管理</w:t>
      </w:r>
      <w:bookmarkEnd w:id="32"/>
      <w:bookmarkEnd w:id="33"/>
      <w:bookmarkEnd w:id="34"/>
      <w:bookmarkEnd w:id="35"/>
    </w:p>
    <w:p w14:paraId="4C5216E2">
      <w:pPr>
        <w:rPr>
          <w:rFonts w:hint="eastAsia" w:ascii="宋体" w:hAnsi="宋体" w:eastAsia="宋体" w:cs="宋体"/>
          <w:sz w:val="28"/>
          <w:szCs w:val="28"/>
        </w:rPr>
      </w:pPr>
      <w:bookmarkStart w:id="36" w:name="_Toc187386647"/>
      <w:r>
        <w:rPr>
          <w:rFonts w:hint="eastAsia" w:ascii="宋体" w:hAnsi="宋体" w:eastAsia="宋体" w:cs="宋体"/>
          <w:sz w:val="28"/>
          <w:szCs w:val="28"/>
        </w:rPr>
        <w:t>场景描述</w:t>
      </w:r>
      <w:bookmarkEnd w:id="36"/>
    </w:p>
    <w:p w14:paraId="0444B858">
      <w:pPr>
        <w:rPr>
          <w:rFonts w:hint="eastAsia" w:ascii="宋体" w:hAnsi="宋体" w:eastAsia="宋体" w:cs="宋体"/>
          <w:sz w:val="28"/>
          <w:szCs w:val="28"/>
        </w:rPr>
      </w:pPr>
      <w:r>
        <w:rPr>
          <w:rFonts w:hint="eastAsia" w:ascii="宋体" w:hAnsi="宋体" w:eastAsia="宋体" w:cs="宋体"/>
          <w:sz w:val="28"/>
          <w:szCs w:val="28"/>
        </w:rPr>
        <w:t>医院需对大量固定资产（如医疗设备、办公设备、科室物资）进行全面管理，确保资产高效利用和妥善维护。</w:t>
      </w:r>
    </w:p>
    <w:p w14:paraId="2A2908E5">
      <w:pPr>
        <w:rPr>
          <w:rFonts w:hint="eastAsia" w:ascii="宋体" w:hAnsi="宋体" w:eastAsia="宋体" w:cs="宋体"/>
          <w:sz w:val="28"/>
          <w:szCs w:val="28"/>
        </w:rPr>
      </w:pPr>
      <w:bookmarkStart w:id="37" w:name="_Toc187386648"/>
      <w:r>
        <w:rPr>
          <w:rFonts w:hint="eastAsia" w:ascii="宋体" w:hAnsi="宋体" w:eastAsia="宋体" w:cs="宋体"/>
          <w:sz w:val="28"/>
          <w:szCs w:val="28"/>
        </w:rPr>
        <w:t>功能应用</w:t>
      </w:r>
      <w:bookmarkEnd w:id="37"/>
    </w:p>
    <w:p w14:paraId="0347143C">
      <w:pPr>
        <w:rPr>
          <w:rFonts w:hint="eastAsia" w:ascii="宋体" w:hAnsi="宋体" w:eastAsia="宋体" w:cs="宋体"/>
          <w:sz w:val="28"/>
          <w:szCs w:val="28"/>
        </w:rPr>
      </w:pPr>
      <w:r>
        <w:rPr>
          <w:rFonts w:hint="eastAsia" w:ascii="宋体" w:hAnsi="宋体" w:eastAsia="宋体" w:cs="宋体"/>
          <w:sz w:val="28"/>
          <w:szCs w:val="28"/>
        </w:rPr>
        <w:t>资产登记与分类：对医疗设备（如CT机、超声仪）、办公设备（如电脑、打印机）进行分类登记和管理，支持资产入库、调拨、报废等流程。</w:t>
      </w:r>
    </w:p>
    <w:p w14:paraId="58DFE982">
      <w:pPr>
        <w:rPr>
          <w:rFonts w:hint="eastAsia" w:ascii="宋体" w:hAnsi="宋体" w:eastAsia="宋体" w:cs="宋体"/>
          <w:sz w:val="28"/>
          <w:szCs w:val="28"/>
        </w:rPr>
      </w:pPr>
      <w:r>
        <w:rPr>
          <w:rFonts w:hint="eastAsia" w:ascii="宋体" w:hAnsi="宋体" w:eastAsia="宋体" w:cs="宋体"/>
          <w:sz w:val="28"/>
          <w:szCs w:val="28"/>
        </w:rPr>
        <w:t>资产盘点与统计：定期对资产进行盘点，生成科室设备使用报告。例如，急诊科设备定期盘点后，发现缺失的医用车可及时补充。</w:t>
      </w:r>
    </w:p>
    <w:p w14:paraId="210E0469">
      <w:pPr>
        <w:rPr>
          <w:rFonts w:hint="eastAsia" w:ascii="宋体" w:hAnsi="宋体" w:eastAsia="宋体" w:cs="宋体"/>
          <w:sz w:val="28"/>
          <w:szCs w:val="28"/>
        </w:rPr>
      </w:pPr>
      <w:r>
        <w:rPr>
          <w:rFonts w:hint="eastAsia" w:ascii="宋体" w:hAnsi="宋体" w:eastAsia="宋体" w:cs="宋体"/>
          <w:sz w:val="28"/>
          <w:szCs w:val="28"/>
        </w:rPr>
        <w:t>维护与维修提醒：对高值医疗设备（如手术机器人）设置维护周期提醒，保障设备处于最佳运行状态。</w:t>
      </w:r>
    </w:p>
    <w:p w14:paraId="73E253B3">
      <w:pPr>
        <w:rPr>
          <w:rFonts w:hint="eastAsia" w:ascii="宋体" w:hAnsi="宋体" w:eastAsia="宋体" w:cs="宋体"/>
          <w:sz w:val="28"/>
          <w:szCs w:val="28"/>
        </w:rPr>
      </w:pPr>
      <w:r>
        <w:rPr>
          <w:rFonts w:hint="eastAsia" w:ascii="宋体" w:hAnsi="宋体" w:eastAsia="宋体" w:cs="宋体"/>
          <w:sz w:val="28"/>
          <w:szCs w:val="28"/>
        </w:rPr>
        <w:t>资产价值分析：统计资产使用年限、维修成本，为采购决策提供数据支持。</w:t>
      </w:r>
      <w:bookmarkStart w:id="38" w:name="_Toc407454971"/>
      <w:bookmarkStart w:id="39" w:name="_Toc187358019"/>
      <w:bookmarkStart w:id="40" w:name="_Toc187357960"/>
      <w:bookmarkStart w:id="41" w:name="_Toc187386649"/>
    </w:p>
    <w:p w14:paraId="7882FE6D">
      <w:pPr>
        <w:pStyle w:val="6"/>
        <w:bidi w:val="0"/>
        <w:rPr>
          <w:rFonts w:hint="eastAsia"/>
        </w:rPr>
      </w:pPr>
      <w:r>
        <w:rPr>
          <w:rFonts w:hint="eastAsia"/>
          <w:lang w:val="en-US" w:eastAsia="zh-CN"/>
        </w:rPr>
        <w:t>5、</w:t>
      </w:r>
      <w:r>
        <w:rPr>
          <w:rFonts w:hint="eastAsia"/>
        </w:rPr>
        <w:t>车辆管理</w:t>
      </w:r>
      <w:bookmarkEnd w:id="38"/>
      <w:bookmarkEnd w:id="39"/>
      <w:bookmarkEnd w:id="40"/>
      <w:bookmarkEnd w:id="41"/>
    </w:p>
    <w:p w14:paraId="263294D3">
      <w:pPr>
        <w:rPr>
          <w:rFonts w:hint="eastAsia" w:ascii="宋体" w:hAnsi="宋体" w:eastAsia="宋体" w:cs="宋体"/>
          <w:sz w:val="28"/>
          <w:szCs w:val="28"/>
        </w:rPr>
      </w:pPr>
      <w:bookmarkStart w:id="42" w:name="_Toc187386650"/>
      <w:r>
        <w:rPr>
          <w:rFonts w:hint="eastAsia" w:ascii="宋体" w:hAnsi="宋体" w:eastAsia="宋体" w:cs="宋体"/>
          <w:sz w:val="28"/>
          <w:szCs w:val="28"/>
        </w:rPr>
        <w:t>场景描述</w:t>
      </w:r>
      <w:bookmarkEnd w:id="42"/>
    </w:p>
    <w:p w14:paraId="524B7F63">
      <w:pPr>
        <w:rPr>
          <w:rFonts w:hint="eastAsia" w:ascii="宋体" w:hAnsi="宋体" w:eastAsia="宋体" w:cs="宋体"/>
          <w:sz w:val="28"/>
          <w:szCs w:val="28"/>
        </w:rPr>
      </w:pPr>
      <w:r>
        <w:rPr>
          <w:rFonts w:hint="eastAsia" w:ascii="宋体" w:hAnsi="宋体" w:eastAsia="宋体" w:cs="宋体"/>
          <w:sz w:val="28"/>
          <w:szCs w:val="28"/>
        </w:rPr>
        <w:t>医院在日常工作中需要管理救护车、公务车辆等，确保车辆合理使用和高效调度。</w:t>
      </w:r>
    </w:p>
    <w:p w14:paraId="3562E6E3">
      <w:pPr>
        <w:rPr>
          <w:rFonts w:hint="eastAsia" w:ascii="宋体" w:hAnsi="宋体" w:eastAsia="宋体" w:cs="宋体"/>
          <w:sz w:val="28"/>
          <w:szCs w:val="28"/>
        </w:rPr>
      </w:pPr>
      <w:bookmarkStart w:id="43" w:name="_Toc187386651"/>
      <w:r>
        <w:rPr>
          <w:rFonts w:hint="eastAsia" w:ascii="宋体" w:hAnsi="宋体" w:eastAsia="宋体" w:cs="宋体"/>
          <w:sz w:val="28"/>
          <w:szCs w:val="28"/>
        </w:rPr>
        <w:t>功能应用</w:t>
      </w:r>
      <w:bookmarkEnd w:id="43"/>
    </w:p>
    <w:p w14:paraId="2E4057DA">
      <w:pPr>
        <w:rPr>
          <w:rFonts w:hint="eastAsia" w:ascii="宋体" w:hAnsi="宋体" w:eastAsia="宋体" w:cs="宋体"/>
          <w:sz w:val="28"/>
          <w:szCs w:val="28"/>
        </w:rPr>
      </w:pPr>
      <w:r>
        <w:rPr>
          <w:rFonts w:hint="eastAsia" w:ascii="宋体" w:hAnsi="宋体" w:eastAsia="宋体" w:cs="宋体"/>
          <w:sz w:val="28"/>
          <w:szCs w:val="28"/>
        </w:rPr>
        <w:t>车辆调度与审批：实现车辆的在线申请与审批流程。例如，急救中心救护车的调度记录可在线提交，审批后快速派车。</w:t>
      </w:r>
    </w:p>
    <w:p w14:paraId="75770150">
      <w:pPr>
        <w:rPr>
          <w:rFonts w:hint="eastAsia" w:ascii="宋体" w:hAnsi="宋体" w:eastAsia="宋体" w:cs="宋体"/>
          <w:sz w:val="28"/>
          <w:szCs w:val="28"/>
        </w:rPr>
      </w:pPr>
      <w:r>
        <w:rPr>
          <w:rFonts w:hint="eastAsia" w:ascii="宋体" w:hAnsi="宋体" w:eastAsia="宋体" w:cs="宋体"/>
          <w:sz w:val="28"/>
          <w:szCs w:val="28"/>
        </w:rPr>
        <w:t>车辆运行状态监控：对救护车进行实时定位监控，跟踪行驶路径，确保急救任务及时完成。</w:t>
      </w:r>
    </w:p>
    <w:p w14:paraId="717A3FF6">
      <w:pPr>
        <w:rPr>
          <w:rFonts w:hint="eastAsia" w:ascii="宋体" w:hAnsi="宋体" w:eastAsia="宋体" w:cs="宋体"/>
          <w:sz w:val="28"/>
          <w:szCs w:val="28"/>
        </w:rPr>
      </w:pPr>
      <w:r>
        <w:rPr>
          <w:rFonts w:hint="eastAsia" w:ascii="宋体" w:hAnsi="宋体" w:eastAsia="宋体" w:cs="宋体"/>
          <w:sz w:val="28"/>
          <w:szCs w:val="28"/>
        </w:rPr>
        <w:t>车辆保养与年检提醒：对医院所有车辆设置保养与年检提醒，避免因延误造成运行风险。</w:t>
      </w:r>
    </w:p>
    <w:p w14:paraId="79F4C1C4">
      <w:pPr>
        <w:rPr>
          <w:rFonts w:hint="eastAsia" w:ascii="宋体" w:hAnsi="宋体" w:eastAsia="宋体" w:cs="宋体"/>
          <w:sz w:val="28"/>
          <w:szCs w:val="28"/>
        </w:rPr>
      </w:pPr>
      <w:r>
        <w:rPr>
          <w:rFonts w:hint="eastAsia" w:ascii="宋体" w:hAnsi="宋体" w:eastAsia="宋体" w:cs="宋体"/>
          <w:sz w:val="28"/>
          <w:szCs w:val="28"/>
        </w:rPr>
        <w:t>用车费用统计：记录车辆运行的燃油费、维修费、过路费等，生成详细的用车成本报表。</w:t>
      </w:r>
    </w:p>
    <w:p w14:paraId="348307B4">
      <w:pPr>
        <w:pStyle w:val="6"/>
        <w:bidi w:val="0"/>
        <w:rPr>
          <w:rFonts w:hint="eastAsia"/>
        </w:rPr>
      </w:pPr>
      <w:bookmarkStart w:id="44" w:name="_Toc187357961"/>
      <w:bookmarkStart w:id="45" w:name="_Toc187358020"/>
      <w:bookmarkStart w:id="46" w:name="_Toc1917830961"/>
      <w:bookmarkStart w:id="47" w:name="_Toc187386652"/>
      <w:r>
        <w:rPr>
          <w:rFonts w:hint="eastAsia"/>
          <w:lang w:val="en-US" w:eastAsia="zh-CN"/>
        </w:rPr>
        <w:t>6、</w:t>
      </w:r>
      <w:r>
        <w:rPr>
          <w:rFonts w:hint="eastAsia"/>
        </w:rPr>
        <w:t>财务管理</w:t>
      </w:r>
      <w:bookmarkEnd w:id="44"/>
      <w:bookmarkEnd w:id="45"/>
      <w:bookmarkEnd w:id="46"/>
      <w:bookmarkEnd w:id="47"/>
    </w:p>
    <w:p w14:paraId="21CB5B76">
      <w:pPr>
        <w:rPr>
          <w:rFonts w:hint="eastAsia" w:ascii="宋体" w:hAnsi="宋体" w:eastAsia="宋体" w:cs="宋体"/>
          <w:sz w:val="28"/>
          <w:szCs w:val="28"/>
        </w:rPr>
      </w:pPr>
      <w:bookmarkStart w:id="48" w:name="_Toc187386653"/>
      <w:r>
        <w:rPr>
          <w:rFonts w:hint="eastAsia" w:ascii="宋体" w:hAnsi="宋体" w:eastAsia="宋体" w:cs="宋体"/>
          <w:sz w:val="28"/>
          <w:szCs w:val="28"/>
        </w:rPr>
        <w:t>场景描述：</w:t>
      </w:r>
      <w:bookmarkEnd w:id="48"/>
    </w:p>
    <w:p w14:paraId="07EACA3F">
      <w:pPr>
        <w:rPr>
          <w:rFonts w:hint="eastAsia" w:ascii="宋体" w:hAnsi="宋体" w:eastAsia="宋体" w:cs="宋体"/>
          <w:sz w:val="28"/>
          <w:szCs w:val="28"/>
        </w:rPr>
      </w:pPr>
      <w:r>
        <w:rPr>
          <w:rFonts w:hint="eastAsia" w:ascii="宋体" w:hAnsi="宋体" w:eastAsia="宋体" w:cs="宋体"/>
          <w:sz w:val="28"/>
          <w:szCs w:val="28"/>
        </w:rPr>
        <w:t>医院的财务工作涉及收入管理、费用报销、预算执行、药品采购等多个环节，需要高效管理</w:t>
      </w:r>
      <w:r>
        <w:rPr>
          <w:rFonts w:hint="eastAsia" w:ascii="宋体" w:hAnsi="宋体" w:eastAsia="宋体" w:cs="宋体"/>
          <w:sz w:val="28"/>
          <w:szCs w:val="28"/>
          <w:lang w:eastAsia="zh-CN"/>
        </w:rPr>
        <w:t>；建立票据管理，形成完善的账务支出报表</w:t>
      </w:r>
      <w:r>
        <w:rPr>
          <w:rFonts w:hint="eastAsia" w:ascii="宋体" w:hAnsi="宋体" w:eastAsia="宋体" w:cs="宋体"/>
          <w:sz w:val="28"/>
          <w:szCs w:val="28"/>
        </w:rPr>
        <w:t>。</w:t>
      </w:r>
    </w:p>
    <w:p w14:paraId="555D9340">
      <w:pPr>
        <w:rPr>
          <w:rFonts w:hint="eastAsia" w:ascii="宋体" w:hAnsi="宋体" w:eastAsia="宋体" w:cs="宋体"/>
          <w:sz w:val="28"/>
          <w:szCs w:val="28"/>
        </w:rPr>
      </w:pPr>
      <w:bookmarkStart w:id="49" w:name="_Toc187386654"/>
      <w:r>
        <w:rPr>
          <w:rFonts w:hint="eastAsia" w:ascii="宋体" w:hAnsi="宋体" w:eastAsia="宋体" w:cs="宋体"/>
          <w:sz w:val="28"/>
          <w:szCs w:val="28"/>
        </w:rPr>
        <w:t>功能应用：</w:t>
      </w:r>
      <w:bookmarkEnd w:id="49"/>
    </w:p>
    <w:p w14:paraId="01E6D938">
      <w:pPr>
        <w:rPr>
          <w:rFonts w:hint="eastAsia" w:ascii="宋体" w:hAnsi="宋体" w:eastAsia="宋体" w:cs="宋体"/>
          <w:sz w:val="28"/>
          <w:szCs w:val="28"/>
        </w:rPr>
      </w:pPr>
      <w:r>
        <w:rPr>
          <w:rFonts w:hint="eastAsia" w:ascii="宋体" w:hAnsi="宋体" w:eastAsia="宋体" w:cs="宋体"/>
          <w:sz w:val="28"/>
          <w:szCs w:val="28"/>
        </w:rPr>
        <w:t>费用报销管理：员工可通过系统提交差旅费、科室活动经费等报销申请，审批流程透明高效。</w:t>
      </w:r>
    </w:p>
    <w:p w14:paraId="1027DA17">
      <w:pPr>
        <w:rPr>
          <w:rFonts w:hint="eastAsia" w:ascii="宋体" w:hAnsi="宋体" w:eastAsia="宋体" w:cs="宋体"/>
          <w:sz w:val="28"/>
          <w:szCs w:val="28"/>
        </w:rPr>
      </w:pPr>
      <w:r>
        <w:rPr>
          <w:rFonts w:hint="eastAsia" w:ascii="宋体" w:hAnsi="宋体" w:eastAsia="宋体" w:cs="宋体"/>
          <w:sz w:val="28"/>
          <w:szCs w:val="28"/>
        </w:rPr>
        <w:t>预算与成本控制：对各科室的运营预算进行精细化管理，如外科手术室采购消耗品的预算审批与执行情况跟踪。</w:t>
      </w:r>
    </w:p>
    <w:p w14:paraId="63E6664B">
      <w:pPr>
        <w:rPr>
          <w:rFonts w:hint="eastAsia" w:ascii="宋体" w:hAnsi="宋体" w:eastAsia="宋体" w:cs="宋体"/>
          <w:sz w:val="28"/>
          <w:szCs w:val="28"/>
        </w:rPr>
      </w:pPr>
      <w:r>
        <w:rPr>
          <w:rFonts w:hint="eastAsia" w:ascii="宋体" w:hAnsi="宋体" w:eastAsia="宋体" w:cs="宋体"/>
          <w:sz w:val="28"/>
          <w:szCs w:val="28"/>
        </w:rPr>
        <w:t>收入与支出统计：实时统计医院的收入（如患者挂号、手术费）与支出（如药品采购、设备维护），为财务决策提供支持。</w:t>
      </w:r>
    </w:p>
    <w:p w14:paraId="1EAF26CC">
      <w:pPr>
        <w:rPr>
          <w:rFonts w:hint="eastAsia" w:ascii="宋体" w:hAnsi="宋体" w:eastAsia="宋体" w:cs="宋体"/>
          <w:sz w:val="28"/>
          <w:szCs w:val="28"/>
        </w:rPr>
      </w:pPr>
      <w:r>
        <w:rPr>
          <w:rFonts w:hint="eastAsia" w:ascii="宋体" w:hAnsi="宋体" w:eastAsia="宋体" w:cs="宋体"/>
          <w:sz w:val="28"/>
          <w:szCs w:val="28"/>
        </w:rPr>
        <w:t>药品采购与结算：管理与药企的采购结算流程，确保药品采购的账款清晰、支付及时。</w:t>
      </w:r>
      <w:bookmarkStart w:id="50" w:name="_Toc187386655"/>
      <w:bookmarkStart w:id="51" w:name="_Toc187357962"/>
      <w:bookmarkStart w:id="52" w:name="_Toc187358021"/>
      <w:bookmarkStart w:id="53" w:name="_Toc1402903704"/>
    </w:p>
    <w:p w14:paraId="2BFB114F">
      <w:pPr>
        <w:pStyle w:val="6"/>
        <w:bidi w:val="0"/>
        <w:rPr>
          <w:rFonts w:hint="eastAsia"/>
        </w:rPr>
      </w:pPr>
      <w:r>
        <w:rPr>
          <w:rFonts w:hint="eastAsia"/>
          <w:lang w:val="en-US" w:eastAsia="zh-CN"/>
        </w:rPr>
        <w:t>7、</w:t>
      </w:r>
      <w:r>
        <w:rPr>
          <w:rFonts w:hint="eastAsia"/>
        </w:rPr>
        <w:t>项目管理</w:t>
      </w:r>
      <w:bookmarkEnd w:id="50"/>
      <w:bookmarkEnd w:id="51"/>
      <w:bookmarkEnd w:id="52"/>
      <w:bookmarkEnd w:id="53"/>
    </w:p>
    <w:p w14:paraId="2D9F430F">
      <w:pPr>
        <w:rPr>
          <w:rFonts w:hint="eastAsia" w:ascii="宋体" w:hAnsi="宋体" w:eastAsia="宋体" w:cs="宋体"/>
          <w:sz w:val="28"/>
          <w:szCs w:val="28"/>
        </w:rPr>
      </w:pPr>
      <w:bookmarkStart w:id="54" w:name="_Toc187386656"/>
      <w:r>
        <w:rPr>
          <w:rFonts w:hint="eastAsia" w:ascii="宋体" w:hAnsi="宋体" w:eastAsia="宋体" w:cs="宋体"/>
          <w:sz w:val="28"/>
          <w:szCs w:val="28"/>
        </w:rPr>
        <w:t>场景描述：</w:t>
      </w:r>
      <w:bookmarkEnd w:id="54"/>
    </w:p>
    <w:p w14:paraId="0F9EC623">
      <w:pPr>
        <w:rPr>
          <w:rFonts w:hint="eastAsia" w:ascii="宋体" w:hAnsi="宋体" w:eastAsia="宋体" w:cs="宋体"/>
          <w:sz w:val="28"/>
          <w:szCs w:val="28"/>
        </w:rPr>
      </w:pPr>
      <w:r>
        <w:rPr>
          <w:rFonts w:hint="eastAsia" w:ascii="宋体" w:hAnsi="宋体" w:eastAsia="宋体" w:cs="宋体"/>
          <w:sz w:val="28"/>
          <w:szCs w:val="28"/>
        </w:rPr>
        <w:t>医院需要对各类项目（如信息化建设项目、</w:t>
      </w:r>
      <w:r>
        <w:rPr>
          <w:rFonts w:hint="eastAsia" w:ascii="宋体" w:hAnsi="宋体" w:eastAsia="宋体" w:cs="宋体"/>
          <w:sz w:val="28"/>
          <w:szCs w:val="28"/>
          <w:lang w:eastAsia="zh-CN"/>
        </w:rPr>
        <w:t>基建</w:t>
      </w:r>
      <w:r>
        <w:rPr>
          <w:rFonts w:hint="eastAsia" w:ascii="宋体" w:hAnsi="宋体" w:eastAsia="宋体" w:cs="宋体"/>
          <w:sz w:val="28"/>
          <w:szCs w:val="28"/>
        </w:rPr>
        <w:t>项目、医疗设备引进项目）进行统一管理。</w:t>
      </w:r>
    </w:p>
    <w:p w14:paraId="5923EA74">
      <w:pPr>
        <w:rPr>
          <w:rFonts w:hint="eastAsia" w:ascii="宋体" w:hAnsi="宋体" w:eastAsia="宋体" w:cs="宋体"/>
          <w:sz w:val="28"/>
          <w:szCs w:val="28"/>
        </w:rPr>
      </w:pPr>
      <w:bookmarkStart w:id="55" w:name="_Toc187386657"/>
      <w:r>
        <w:rPr>
          <w:rFonts w:hint="eastAsia" w:ascii="宋体" w:hAnsi="宋体" w:eastAsia="宋体" w:cs="宋体"/>
          <w:sz w:val="28"/>
          <w:szCs w:val="28"/>
        </w:rPr>
        <w:t>功能应用：</w:t>
      </w:r>
      <w:bookmarkEnd w:id="55"/>
    </w:p>
    <w:p w14:paraId="51E657C1">
      <w:pPr>
        <w:rPr>
          <w:rFonts w:hint="eastAsia" w:ascii="宋体" w:hAnsi="宋体" w:eastAsia="宋体" w:cs="宋体"/>
          <w:sz w:val="28"/>
          <w:szCs w:val="28"/>
        </w:rPr>
      </w:pPr>
      <w:r>
        <w:rPr>
          <w:rFonts w:hint="eastAsia" w:ascii="宋体" w:hAnsi="宋体" w:eastAsia="宋体" w:cs="宋体"/>
          <w:sz w:val="28"/>
          <w:szCs w:val="28"/>
        </w:rPr>
        <w:t>项目计划与分工：对医院重点项目制定实施计划，明确项目负责人及相关科室的工作任务。</w:t>
      </w:r>
    </w:p>
    <w:p w14:paraId="0CC16B5F">
      <w:pPr>
        <w:rPr>
          <w:rFonts w:hint="eastAsia" w:ascii="宋体" w:hAnsi="宋体" w:eastAsia="宋体" w:cs="宋体"/>
          <w:sz w:val="28"/>
          <w:szCs w:val="28"/>
        </w:rPr>
      </w:pPr>
      <w:r>
        <w:rPr>
          <w:rFonts w:hint="eastAsia" w:ascii="宋体" w:hAnsi="宋体" w:eastAsia="宋体" w:cs="宋体"/>
          <w:sz w:val="28"/>
          <w:szCs w:val="28"/>
        </w:rPr>
        <w:t>进度跟踪与提醒：实时跟踪项目执行进度，对于延误环节提供提醒与反馈功能，确保项目按期完成。</w:t>
      </w:r>
    </w:p>
    <w:p w14:paraId="7340D055">
      <w:pPr>
        <w:rPr>
          <w:rFonts w:hint="eastAsia" w:ascii="宋体" w:hAnsi="宋体" w:eastAsia="宋体" w:cs="宋体"/>
          <w:sz w:val="28"/>
          <w:szCs w:val="28"/>
        </w:rPr>
      </w:pPr>
      <w:r>
        <w:rPr>
          <w:rFonts w:hint="eastAsia" w:ascii="宋体" w:hAnsi="宋体" w:eastAsia="宋体" w:cs="宋体"/>
          <w:sz w:val="28"/>
          <w:szCs w:val="28"/>
        </w:rPr>
        <w:t>资金与资源调配：对项目的资金投入与资源配置进行管理，如科研项目的实验设备采购与经费分配。</w:t>
      </w:r>
    </w:p>
    <w:p w14:paraId="18854F42">
      <w:pPr>
        <w:rPr>
          <w:rFonts w:hint="eastAsia" w:ascii="宋体" w:hAnsi="宋体" w:eastAsia="宋体" w:cs="宋体"/>
          <w:sz w:val="28"/>
          <w:szCs w:val="28"/>
        </w:rPr>
      </w:pPr>
      <w:r>
        <w:rPr>
          <w:rFonts w:hint="eastAsia" w:ascii="宋体" w:hAnsi="宋体" w:eastAsia="宋体" w:cs="宋体"/>
          <w:sz w:val="28"/>
          <w:szCs w:val="28"/>
        </w:rPr>
        <w:t>绩效评估与成果存档：记录项目的完成情况与成果，对项目进行绩效评估，提升管理效率。</w:t>
      </w:r>
    </w:p>
    <w:p w14:paraId="4D3E4C8D">
      <w:pPr>
        <w:pStyle w:val="6"/>
        <w:bidi w:val="0"/>
        <w:rPr>
          <w:rFonts w:hint="eastAsia"/>
        </w:rPr>
      </w:pPr>
      <w:bookmarkStart w:id="56" w:name="_Toc187358022"/>
      <w:bookmarkStart w:id="57" w:name="_Toc187386658"/>
      <w:bookmarkStart w:id="58" w:name="_Toc187357963"/>
      <w:bookmarkStart w:id="59" w:name="_Toc1379592715"/>
      <w:r>
        <w:rPr>
          <w:rFonts w:hint="eastAsia"/>
          <w:lang w:val="en-US" w:eastAsia="zh-CN"/>
        </w:rPr>
        <w:t>8、</w:t>
      </w:r>
      <w:r>
        <w:rPr>
          <w:rFonts w:hint="eastAsia"/>
        </w:rPr>
        <w:t>采购管理</w:t>
      </w:r>
      <w:bookmarkEnd w:id="56"/>
      <w:bookmarkEnd w:id="57"/>
      <w:bookmarkEnd w:id="58"/>
      <w:bookmarkEnd w:id="59"/>
    </w:p>
    <w:p w14:paraId="58F43AE4">
      <w:pPr>
        <w:rPr>
          <w:rFonts w:hint="eastAsia" w:ascii="宋体" w:hAnsi="宋体" w:eastAsia="宋体" w:cs="宋体"/>
          <w:sz w:val="28"/>
          <w:szCs w:val="28"/>
        </w:rPr>
      </w:pPr>
      <w:bookmarkStart w:id="60" w:name="_Toc187386659"/>
      <w:r>
        <w:rPr>
          <w:rFonts w:hint="eastAsia" w:ascii="宋体" w:hAnsi="宋体" w:eastAsia="宋体" w:cs="宋体"/>
          <w:sz w:val="28"/>
          <w:szCs w:val="28"/>
        </w:rPr>
        <w:t>场景描述：</w:t>
      </w:r>
      <w:bookmarkEnd w:id="60"/>
    </w:p>
    <w:p w14:paraId="2C84158B">
      <w:pPr>
        <w:rPr>
          <w:rFonts w:hint="eastAsia" w:ascii="宋体" w:hAnsi="宋体" w:eastAsia="宋体" w:cs="宋体"/>
          <w:sz w:val="28"/>
          <w:szCs w:val="28"/>
        </w:rPr>
      </w:pPr>
      <w:r>
        <w:rPr>
          <w:rFonts w:hint="eastAsia" w:ascii="宋体" w:hAnsi="宋体" w:eastAsia="宋体" w:cs="宋体"/>
          <w:sz w:val="28"/>
          <w:szCs w:val="28"/>
        </w:rPr>
        <w:t>医院需采购药品、医疗设备、耗材等，需对采购流程进行高效管理。</w:t>
      </w:r>
    </w:p>
    <w:p w14:paraId="18BB63C7">
      <w:pPr>
        <w:rPr>
          <w:rFonts w:hint="eastAsia" w:ascii="宋体" w:hAnsi="宋体" w:eastAsia="宋体" w:cs="宋体"/>
          <w:sz w:val="28"/>
          <w:szCs w:val="28"/>
        </w:rPr>
      </w:pPr>
      <w:bookmarkStart w:id="61" w:name="_Toc187386660"/>
      <w:r>
        <w:rPr>
          <w:rFonts w:hint="eastAsia" w:ascii="宋体" w:hAnsi="宋体" w:eastAsia="宋体" w:cs="宋体"/>
          <w:sz w:val="28"/>
          <w:szCs w:val="28"/>
        </w:rPr>
        <w:t>功能应用：</w:t>
      </w:r>
      <w:bookmarkEnd w:id="61"/>
    </w:p>
    <w:p w14:paraId="67EF91E5">
      <w:pPr>
        <w:rPr>
          <w:rFonts w:hint="eastAsia" w:ascii="宋体" w:hAnsi="宋体" w:eastAsia="宋体" w:cs="宋体"/>
          <w:sz w:val="28"/>
          <w:szCs w:val="28"/>
        </w:rPr>
      </w:pPr>
      <w:r>
        <w:rPr>
          <w:rFonts w:hint="eastAsia" w:ascii="宋体" w:hAnsi="宋体" w:eastAsia="宋体" w:cs="宋体"/>
          <w:sz w:val="28"/>
          <w:szCs w:val="28"/>
        </w:rPr>
        <w:t>采购需求申报：科室在线提交采购需求，例如采购新型呼吸机的申请。</w:t>
      </w:r>
    </w:p>
    <w:p w14:paraId="6CBCFEC4">
      <w:pPr>
        <w:rPr>
          <w:rFonts w:hint="eastAsia" w:ascii="宋体" w:hAnsi="宋体" w:eastAsia="宋体" w:cs="宋体"/>
          <w:sz w:val="28"/>
          <w:szCs w:val="28"/>
        </w:rPr>
      </w:pPr>
      <w:r>
        <w:rPr>
          <w:rFonts w:hint="eastAsia" w:ascii="宋体" w:hAnsi="宋体" w:eastAsia="宋体" w:cs="宋体"/>
          <w:sz w:val="28"/>
          <w:szCs w:val="28"/>
        </w:rPr>
        <w:t>供应商管理：对药品供应商、设备厂家等进行分类管理，记录合作历史与信用评级。</w:t>
      </w:r>
    </w:p>
    <w:p w14:paraId="298699B8">
      <w:pPr>
        <w:rPr>
          <w:rFonts w:hint="eastAsia" w:ascii="宋体" w:hAnsi="宋体" w:eastAsia="宋体" w:cs="宋体"/>
          <w:sz w:val="28"/>
          <w:szCs w:val="28"/>
        </w:rPr>
      </w:pPr>
      <w:r>
        <w:rPr>
          <w:rFonts w:hint="eastAsia" w:ascii="宋体" w:hAnsi="宋体" w:eastAsia="宋体" w:cs="宋体"/>
          <w:sz w:val="28"/>
          <w:szCs w:val="28"/>
        </w:rPr>
        <w:t>招标与审批流程：支持大额采购的招标流程，并通过系统完成审批和报价比较。</w:t>
      </w:r>
    </w:p>
    <w:p w14:paraId="2BC3ECB4">
      <w:pPr>
        <w:rPr>
          <w:rFonts w:hint="eastAsia" w:ascii="宋体" w:hAnsi="宋体" w:eastAsia="宋体" w:cs="宋体"/>
          <w:sz w:val="28"/>
          <w:szCs w:val="28"/>
        </w:rPr>
      </w:pPr>
      <w:r>
        <w:rPr>
          <w:rFonts w:hint="eastAsia" w:ascii="宋体" w:hAnsi="宋体" w:eastAsia="宋体" w:cs="宋体"/>
          <w:sz w:val="28"/>
          <w:szCs w:val="28"/>
        </w:rPr>
        <w:t>采购合同对接：与合同管理模块集成，实现采购合同的自动归档与跟踪。</w:t>
      </w:r>
    </w:p>
    <w:p w14:paraId="165C8C76">
      <w:pPr>
        <w:rPr>
          <w:rFonts w:hint="eastAsia" w:ascii="宋体" w:hAnsi="宋体" w:eastAsia="宋体" w:cs="宋体"/>
          <w:sz w:val="28"/>
          <w:szCs w:val="28"/>
        </w:rPr>
      </w:pPr>
      <w:r>
        <w:rPr>
          <w:rFonts w:hint="eastAsia" w:ascii="宋体" w:hAnsi="宋体" w:eastAsia="宋体" w:cs="宋体"/>
          <w:sz w:val="28"/>
          <w:szCs w:val="28"/>
        </w:rPr>
        <w:t>到货与验收管理：记录采购物资的到货和验收情况，例如手术室耗材的到货检测。</w:t>
      </w:r>
    </w:p>
    <w:p w14:paraId="56302505">
      <w:pPr>
        <w:rPr>
          <w:rStyle w:val="15"/>
          <w:rFonts w:hint="eastAsia"/>
        </w:rPr>
      </w:pPr>
      <w:r>
        <w:rPr>
          <w:rFonts w:hint="eastAsia" w:ascii="宋体" w:hAnsi="宋体" w:eastAsia="宋体" w:cs="宋体"/>
          <w:sz w:val="28"/>
          <w:szCs w:val="28"/>
        </w:rPr>
        <w:t>成本分析：对比不同供应商的报价和实际采购成本，优化采购策略。</w:t>
      </w:r>
      <w:bookmarkEnd w:id="12"/>
      <w:bookmarkEnd w:id="13"/>
      <w:bookmarkEnd w:id="14"/>
      <w:bookmarkEnd w:id="15"/>
      <w:bookmarkEnd w:id="16"/>
      <w:bookmarkEnd w:id="17"/>
      <w:bookmarkEnd w:id="18"/>
      <w:bookmarkStart w:id="62" w:name="_Toc918227338"/>
      <w:bookmarkStart w:id="63" w:name="_Toc187386661"/>
      <w:bookmarkStart w:id="64" w:name="_Toc187325133"/>
      <w:bookmarkStart w:id="65" w:name="_Toc1641459346"/>
      <w:bookmarkStart w:id="66" w:name="_Toc1662980338"/>
      <w:bookmarkStart w:id="67" w:name="_Toc78426274"/>
      <w:bookmarkStart w:id="68" w:name="_Toc187358024"/>
      <w:bookmarkStart w:id="69" w:name="_Toc1253060486"/>
      <w:bookmarkStart w:id="70" w:name="_Toc1729457208"/>
      <w:bookmarkStart w:id="71" w:name="_Toc1399224908"/>
      <w:bookmarkStart w:id="72" w:name="_Toc433824346"/>
      <w:bookmarkStart w:id="73" w:name="_Toc1744679256"/>
      <w:bookmarkStart w:id="74" w:name="_Toc834798517"/>
      <w:bookmarkStart w:id="75" w:name="_Toc187357965"/>
      <w:bookmarkStart w:id="76" w:name="_Toc809568795"/>
      <w:bookmarkStart w:id="77" w:name="_Toc1842677600"/>
      <w:bookmarkStart w:id="78" w:name="_Toc2088548956"/>
      <w:bookmarkStart w:id="79" w:name="_Toc165537684"/>
      <w:bookmarkStart w:id="80" w:name="_Toc1054699180"/>
      <w:bookmarkStart w:id="81" w:name="_Toc752755303"/>
      <w:bookmarkStart w:id="82" w:name="_Toc1526228400"/>
      <w:bookmarkStart w:id="83" w:name="_Toc318755787"/>
      <w:r>
        <w:rPr>
          <w:rStyle w:val="15"/>
          <w:rFonts w:hint="eastAsia"/>
          <w:lang w:val="en-US" w:eastAsia="zh-CN"/>
        </w:rPr>
        <w:t>9、</w:t>
      </w:r>
      <w:r>
        <w:rPr>
          <w:rStyle w:val="15"/>
          <w:rFonts w:hint="eastAsia"/>
        </w:rPr>
        <w:t>医院移动办公管理</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1BA25A64">
      <w:pPr>
        <w:rPr>
          <w:rFonts w:hint="eastAsia" w:ascii="宋体" w:hAnsi="宋体" w:eastAsia="宋体" w:cs="宋体"/>
          <w:sz w:val="28"/>
          <w:szCs w:val="28"/>
        </w:rPr>
      </w:pPr>
      <w:r>
        <w:rPr>
          <w:rFonts w:hint="eastAsia" w:ascii="宋体" w:hAnsi="宋体" w:eastAsia="宋体" w:cs="宋体"/>
          <w:sz w:val="28"/>
          <w:szCs w:val="28"/>
        </w:rPr>
        <w:t>场景描述：</w:t>
      </w:r>
    </w:p>
    <w:p w14:paraId="3E726194">
      <w:pPr>
        <w:rPr>
          <w:rFonts w:hint="eastAsia" w:ascii="宋体" w:hAnsi="宋体" w:eastAsia="宋体" w:cs="宋体"/>
          <w:sz w:val="28"/>
          <w:szCs w:val="28"/>
        </w:rPr>
      </w:pPr>
      <w:r>
        <w:rPr>
          <w:rFonts w:hint="eastAsia" w:ascii="宋体" w:hAnsi="宋体" w:eastAsia="宋体" w:cs="宋体"/>
          <w:sz w:val="28"/>
          <w:szCs w:val="28"/>
        </w:rPr>
        <w:t>医院需采购药品、医疗设备、耗材等，需对采购流程进行高效管理。</w:t>
      </w:r>
    </w:p>
    <w:p w14:paraId="3FF42EE7">
      <w:pPr>
        <w:rPr>
          <w:rFonts w:hint="eastAsia" w:ascii="宋体" w:hAnsi="宋体" w:eastAsia="宋体" w:cs="宋体"/>
          <w:sz w:val="28"/>
          <w:szCs w:val="28"/>
        </w:rPr>
      </w:pPr>
      <w:r>
        <w:rPr>
          <w:rFonts w:hint="eastAsia" w:ascii="宋体" w:hAnsi="宋体" w:eastAsia="宋体" w:cs="宋体"/>
          <w:sz w:val="28"/>
          <w:szCs w:val="28"/>
        </w:rPr>
        <w:t>功能应用：</w:t>
      </w:r>
    </w:p>
    <w:p w14:paraId="30CD9F57">
      <w:pPr>
        <w:rPr>
          <w:rFonts w:hint="eastAsia" w:ascii="宋体" w:hAnsi="宋体" w:eastAsia="宋体" w:cs="宋体"/>
          <w:sz w:val="28"/>
          <w:szCs w:val="28"/>
        </w:rPr>
      </w:pPr>
      <w:r>
        <w:rPr>
          <w:rFonts w:hint="eastAsia" w:ascii="宋体" w:hAnsi="宋体" w:eastAsia="宋体" w:cs="宋体"/>
          <w:sz w:val="28"/>
          <w:szCs w:val="28"/>
        </w:rPr>
        <w:t>实现通过一个应用门户，一个通知中心、一个后台服务，构建起我院的统一移动门户。</w:t>
      </w:r>
    </w:p>
    <w:p w14:paraId="0B543D5E">
      <w:pPr>
        <w:rPr>
          <w:rFonts w:hint="eastAsia" w:ascii="宋体" w:hAnsi="宋体" w:eastAsia="宋体" w:cs="宋体"/>
          <w:sz w:val="28"/>
          <w:szCs w:val="28"/>
        </w:rPr>
      </w:pPr>
      <w:r>
        <w:rPr>
          <w:rFonts w:hint="eastAsia" w:ascii="宋体" w:hAnsi="宋体" w:eastAsia="宋体" w:cs="宋体"/>
          <w:sz w:val="28"/>
          <w:szCs w:val="28"/>
        </w:rPr>
        <w:t>应用移动端多平台适配，包括iOS、Android、WindowsPhone，支持院方自主功能插件式扩展，帮助院方实现一次开发、多平台布署及运行。</w:t>
      </w:r>
    </w:p>
    <w:p w14:paraId="19C60FD6">
      <w:pPr>
        <w:rPr>
          <w:rFonts w:hint="eastAsia" w:ascii="宋体" w:hAnsi="宋体" w:eastAsia="宋体" w:cs="宋体"/>
          <w:sz w:val="28"/>
          <w:szCs w:val="28"/>
        </w:rPr>
      </w:pPr>
      <w:r>
        <w:rPr>
          <w:rFonts w:hint="eastAsia" w:ascii="宋体" w:hAnsi="宋体" w:eastAsia="宋体" w:cs="宋体"/>
          <w:sz w:val="28"/>
          <w:szCs w:val="28"/>
        </w:rPr>
        <w:t>快速实现与现有的业务服务对接，构建起掌上办公、移动协同办公、移动科研、移动人事等全面提升全院职工的综合管理服务水平以及服务效率。</w:t>
      </w:r>
    </w:p>
    <w:p w14:paraId="09B35ADC">
      <w:pPr>
        <w:pStyle w:val="6"/>
        <w:numPr>
          <w:ilvl w:val="0"/>
          <w:numId w:val="4"/>
        </w:numPr>
        <w:bidi w:val="0"/>
        <w:rPr>
          <w:rFonts w:hint="eastAsia"/>
          <w:lang w:val="en-US" w:eastAsia="zh-CN"/>
        </w:rPr>
      </w:pPr>
      <w:r>
        <w:rPr>
          <w:rFonts w:hint="eastAsia"/>
          <w:lang w:val="en-US" w:eastAsia="zh-CN"/>
        </w:rPr>
        <w:t>报表查询</w:t>
      </w:r>
    </w:p>
    <w:p w14:paraId="0DEFBB70">
      <w:pPr>
        <w:numPr>
          <w:ilvl w:val="0"/>
          <w:numId w:val="0"/>
        </w:numPr>
        <w:rPr>
          <w:rFonts w:hint="eastAsia"/>
          <w:sz w:val="28"/>
          <w:szCs w:val="28"/>
          <w:lang w:val="en-US" w:eastAsia="zh-CN"/>
        </w:rPr>
      </w:pPr>
      <w:r>
        <w:rPr>
          <w:rFonts w:hint="eastAsia"/>
          <w:sz w:val="28"/>
          <w:szCs w:val="28"/>
          <w:lang w:val="en-US" w:eastAsia="zh-CN"/>
        </w:rPr>
        <w:t>场景描述：</w:t>
      </w:r>
    </w:p>
    <w:p w14:paraId="22982867">
      <w:pPr>
        <w:numPr>
          <w:ilvl w:val="0"/>
          <w:numId w:val="0"/>
        </w:numPr>
        <w:rPr>
          <w:rFonts w:hint="eastAsia"/>
          <w:sz w:val="28"/>
          <w:szCs w:val="28"/>
          <w:lang w:val="en-US" w:eastAsia="zh-CN"/>
        </w:rPr>
      </w:pPr>
      <w:r>
        <w:rPr>
          <w:rFonts w:hint="eastAsia"/>
          <w:sz w:val="28"/>
          <w:szCs w:val="28"/>
          <w:lang w:val="en-US" w:eastAsia="zh-CN"/>
        </w:rPr>
        <w:t>根据业务科室需求生成系统内各项数据汇总报表。</w:t>
      </w:r>
    </w:p>
    <w:p w14:paraId="4A831254">
      <w:pPr>
        <w:numPr>
          <w:ilvl w:val="0"/>
          <w:numId w:val="0"/>
        </w:numPr>
        <w:rPr>
          <w:rFonts w:hint="eastAsia"/>
          <w:sz w:val="28"/>
          <w:szCs w:val="28"/>
          <w:lang w:val="en-US" w:eastAsia="zh-CN"/>
        </w:rPr>
      </w:pPr>
      <w:r>
        <w:rPr>
          <w:rFonts w:hint="eastAsia"/>
          <w:sz w:val="28"/>
          <w:szCs w:val="28"/>
          <w:lang w:val="en-US" w:eastAsia="zh-CN"/>
        </w:rPr>
        <w:t>功能应用：</w:t>
      </w:r>
    </w:p>
    <w:p w14:paraId="3F1B3658">
      <w:pPr>
        <w:numPr>
          <w:ilvl w:val="0"/>
          <w:numId w:val="0"/>
        </w:numPr>
        <w:rPr>
          <w:rFonts w:hint="default"/>
          <w:sz w:val="28"/>
          <w:szCs w:val="28"/>
          <w:lang w:val="en-US" w:eastAsia="zh-CN"/>
        </w:rPr>
      </w:pPr>
      <w:r>
        <w:rPr>
          <w:rFonts w:hint="eastAsia"/>
          <w:sz w:val="28"/>
          <w:szCs w:val="28"/>
          <w:lang w:val="en-US" w:eastAsia="zh-CN"/>
        </w:rPr>
        <w:t>实现各相关科室通过制定完整报表查询相关对应项目月度、年度数据报表，便于管理人员规划后续工作。（如月度收到票据：票号、总金额、已支付额、未支付额、是否完成支付，已支付总额、未支付总额；如月度设备维修流程报表：设备名称、设备维修部件、维修金额、是否完成维修、责任科室）</w:t>
      </w:r>
    </w:p>
    <w:p w14:paraId="4762000C">
      <w:pPr>
        <w:pStyle w:val="3"/>
        <w:numPr>
          <w:ilvl w:val="0"/>
          <w:numId w:val="0"/>
        </w:numPr>
        <w:bidi w:val="0"/>
        <w:ind w:leftChars="0"/>
        <w:rPr>
          <w:rFonts w:hint="eastAsia"/>
          <w:b/>
          <w:bCs/>
        </w:rPr>
      </w:pPr>
      <w:bookmarkStart w:id="84" w:name="_Toc829382424"/>
      <w:bookmarkStart w:id="85" w:name="_Toc2113833820"/>
      <w:bookmarkStart w:id="86" w:name="_Toc1200532123"/>
      <w:bookmarkStart w:id="87" w:name="_Toc999095922"/>
      <w:bookmarkStart w:id="88" w:name="_Toc1776039032"/>
      <w:bookmarkStart w:id="89" w:name="_Toc187325134"/>
      <w:bookmarkStart w:id="90" w:name="_Toc1504296491"/>
      <w:bookmarkStart w:id="91" w:name="_Toc1622093277"/>
      <w:bookmarkStart w:id="92" w:name="_Toc187406010"/>
      <w:bookmarkStart w:id="93" w:name="_Toc948009368"/>
      <w:bookmarkStart w:id="94" w:name="_Toc1827094106"/>
      <w:bookmarkStart w:id="95" w:name="_Toc187386662"/>
      <w:bookmarkStart w:id="96" w:name="_Toc210875061"/>
      <w:bookmarkStart w:id="97" w:name="_Toc187358025"/>
      <w:bookmarkStart w:id="98" w:name="_Toc578801657"/>
      <w:bookmarkStart w:id="99" w:name="_Toc187357966"/>
      <w:bookmarkStart w:id="100" w:name="_Toc1020749813"/>
      <w:bookmarkStart w:id="101" w:name="_Toc732213044"/>
      <w:bookmarkStart w:id="102" w:name="_Toc1702911507"/>
      <w:bookmarkStart w:id="103" w:name="_Toc1962945720"/>
      <w:bookmarkStart w:id="104" w:name="_Toc1082539454"/>
      <w:bookmarkStart w:id="105" w:name="_Toc1432298860"/>
      <w:bookmarkStart w:id="106" w:name="_Toc796132711"/>
      <w:r>
        <w:rPr>
          <w:rFonts w:hint="eastAsia"/>
          <w:b/>
          <w:bCs/>
          <w:lang w:eastAsia="zh-CN"/>
        </w:rPr>
        <w:t>三、</w:t>
      </w:r>
      <w:r>
        <w:rPr>
          <w:rFonts w:hint="eastAsia"/>
          <w:b/>
          <w:bCs/>
        </w:rPr>
        <w:t>系统扩展</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Start w:id="107" w:name="_Toc386148106"/>
      <w:bookmarkEnd w:id="107"/>
      <w:bookmarkStart w:id="108" w:name="_Toc759145994"/>
      <w:bookmarkEnd w:id="108"/>
      <w:bookmarkStart w:id="109" w:name="_Toc1383040419"/>
      <w:bookmarkEnd w:id="109"/>
    </w:p>
    <w:p w14:paraId="15A8B509">
      <w:pPr>
        <w:pStyle w:val="6"/>
        <w:bidi w:val="0"/>
        <w:rPr>
          <w:rFonts w:hint="eastAsia"/>
        </w:rPr>
      </w:pPr>
      <w:bookmarkStart w:id="110" w:name="_Toc187386663"/>
      <w:r>
        <w:rPr>
          <w:rFonts w:hint="eastAsia"/>
          <w:lang w:val="en-US" w:eastAsia="zh-CN"/>
        </w:rPr>
        <w:t>1、</w:t>
      </w:r>
      <w:r>
        <w:rPr>
          <w:rFonts w:hint="eastAsia"/>
        </w:rPr>
        <w:t>业务建模</w:t>
      </w:r>
      <w:bookmarkEnd w:id="110"/>
    </w:p>
    <w:p w14:paraId="0435EA99">
      <w:pPr>
        <w:ind w:firstLine="420" w:firstLineChars="0"/>
        <w:rPr>
          <w:rFonts w:hint="eastAsia" w:ascii="宋体" w:hAnsi="宋体" w:eastAsia="宋体" w:cs="宋体"/>
          <w:sz w:val="28"/>
          <w:szCs w:val="28"/>
        </w:rPr>
      </w:pPr>
      <w:r>
        <w:rPr>
          <w:rFonts w:hint="eastAsia" w:ascii="宋体" w:hAnsi="宋体" w:eastAsia="宋体" w:cs="宋体"/>
          <w:sz w:val="28"/>
          <w:szCs w:val="28"/>
        </w:rPr>
        <w:t>软件开发平台需支持业务模块的快速开发，应包含表单、操作、展现、关联、流程、报表、门户、权限、菜单等一系列业务模型的设计，可灵活扩充软件功能，能够动态适应未来的升级和变化，保证医院的长期投资价值。软件开发平台需要有快速开发的能力，能够从零到有的开发出应用系统，具体主要体现在表单、数据、流程、报表的快速可定制化，需要项目内容通过快速定制开发完成。</w:t>
      </w:r>
    </w:p>
    <w:p w14:paraId="23759845">
      <w:pPr>
        <w:ind w:firstLine="420" w:firstLineChars="0"/>
        <w:rPr>
          <w:rFonts w:hint="eastAsia" w:ascii="宋体" w:hAnsi="宋体" w:eastAsia="宋体" w:cs="宋体"/>
          <w:sz w:val="28"/>
          <w:szCs w:val="28"/>
        </w:rPr>
      </w:pPr>
      <w:r>
        <w:rPr>
          <w:rFonts w:hint="eastAsia" w:ascii="宋体" w:hAnsi="宋体" w:eastAsia="宋体" w:cs="宋体"/>
          <w:sz w:val="28"/>
          <w:szCs w:val="28"/>
        </w:rPr>
        <w:t>支持灵活功能强大的表单设计和可视化的表单设计开发、跟踪、部署环境，能够定义各种类型的数据字段，表单需内置数据校验引擎，支持多种数据源。支持通过图形化工具定义复杂的业务逻辑，满足灵活的业务需求。</w:t>
      </w:r>
    </w:p>
    <w:p w14:paraId="715F5ABE">
      <w:pPr>
        <w:pStyle w:val="6"/>
        <w:bidi w:val="0"/>
        <w:rPr>
          <w:rFonts w:hint="eastAsia"/>
        </w:rPr>
      </w:pPr>
      <w:bookmarkStart w:id="111" w:name="_Toc187386664"/>
      <w:r>
        <w:rPr>
          <w:rFonts w:hint="eastAsia"/>
          <w:lang w:val="en-US" w:eastAsia="zh-CN"/>
        </w:rPr>
        <w:t>2、</w:t>
      </w:r>
      <w:r>
        <w:rPr>
          <w:rFonts w:hint="eastAsia"/>
        </w:rPr>
        <w:t>低代码平台</w:t>
      </w:r>
      <w:bookmarkEnd w:id="111"/>
    </w:p>
    <w:p w14:paraId="72291665">
      <w:pPr>
        <w:ind w:firstLine="420" w:firstLineChars="0"/>
        <w:rPr>
          <w:rFonts w:hint="eastAsia" w:ascii="宋体" w:hAnsi="宋体" w:eastAsia="宋体" w:cs="宋体"/>
          <w:sz w:val="28"/>
          <w:szCs w:val="28"/>
        </w:rPr>
      </w:pPr>
      <w:r>
        <w:rPr>
          <w:rFonts w:hint="eastAsia" w:ascii="宋体" w:hAnsi="宋体" w:eastAsia="宋体" w:cs="宋体"/>
          <w:sz w:val="28"/>
          <w:szCs w:val="28"/>
        </w:rPr>
        <w:t>低代码构建平台，满足组织数字化需求。平台不仅能提供丰富的应用，满足各类业务场景所需；还具备数字化的应用构建能力，融合无代码、低代码配置化的能力，降低数字化要求，人人都能构建数字应用，融合了全代码开发的能力，构建复杂的业务应用。让组织所有业务都能在一个平台上自主构建，并可灵活调整；此外，平台还具备数字应用统一管理及运维的能力，实现应用的构建、管理、运维的一体化。</w:t>
      </w:r>
    </w:p>
    <w:p w14:paraId="326C301B">
      <w:pPr>
        <w:pStyle w:val="6"/>
        <w:bidi w:val="0"/>
        <w:rPr>
          <w:rFonts w:hint="eastAsia"/>
        </w:rPr>
      </w:pPr>
      <w:r>
        <w:rPr>
          <w:rFonts w:hint="eastAsia"/>
          <w:lang w:val="en-US" w:eastAsia="zh-CN"/>
        </w:rPr>
        <w:t>3、</w:t>
      </w:r>
      <w:r>
        <w:rPr>
          <w:rFonts w:hint="eastAsia"/>
        </w:rPr>
        <w:t>信创支持</w:t>
      </w:r>
    </w:p>
    <w:p w14:paraId="03114089">
      <w:pPr>
        <w:ind w:firstLine="420" w:firstLineChars="0"/>
        <w:rPr>
          <w:rFonts w:hint="eastAsia" w:ascii="宋体" w:hAnsi="宋体" w:eastAsia="宋体" w:cs="宋体"/>
          <w:sz w:val="28"/>
          <w:szCs w:val="28"/>
          <w:lang w:eastAsia="zh-CN"/>
        </w:rPr>
      </w:pPr>
      <w:r>
        <w:rPr>
          <w:rFonts w:hint="eastAsia" w:ascii="宋体" w:hAnsi="宋体" w:eastAsia="宋体" w:cs="宋体"/>
          <w:sz w:val="28"/>
          <w:szCs w:val="28"/>
        </w:rPr>
        <w:t>支持信创环境下的系统适配（适配国产服务器芯片、国产数据库、国产操作系统、国产中间件、国产流式软件、国产版式软件等），并支持实现国产终端与非国产终端混合使用</w:t>
      </w:r>
      <w:r>
        <w:rPr>
          <w:rFonts w:hint="eastAsia" w:ascii="宋体" w:hAnsi="宋体" w:eastAsia="宋体" w:cs="宋体"/>
          <w:sz w:val="28"/>
          <w:szCs w:val="28"/>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04797"/>
    <w:multiLevelType w:val="singleLevel"/>
    <w:tmpl w:val="0F604797"/>
    <w:lvl w:ilvl="0" w:tentative="0">
      <w:start w:val="10"/>
      <w:numFmt w:val="decimal"/>
      <w:suff w:val="nothing"/>
      <w:lvlText w:val="%1、"/>
      <w:lvlJc w:val="left"/>
    </w:lvl>
  </w:abstractNum>
  <w:abstractNum w:abstractNumId="1">
    <w:nsid w:val="1B315A55"/>
    <w:multiLevelType w:val="multilevel"/>
    <w:tmpl w:val="1B315A55"/>
    <w:lvl w:ilvl="0" w:tentative="0">
      <w:start w:val="1"/>
      <w:numFmt w:val="decimal"/>
      <w:lvlText w:val="5.2.%1"/>
      <w:lvlJc w:val="right"/>
      <w:pPr>
        <w:ind w:left="1574" w:hanging="440"/>
      </w:pPr>
      <w:rPr>
        <w:rFonts w:hint="eastAsia"/>
        <w:sz w:val="32"/>
        <w:szCs w:val="32"/>
      </w:rPr>
    </w:lvl>
    <w:lvl w:ilvl="1" w:tentative="0">
      <w:start w:val="1"/>
      <w:numFmt w:val="lowerLetter"/>
      <w:lvlText w:val="%2)"/>
      <w:lvlJc w:val="left"/>
      <w:pPr>
        <w:ind w:left="2014" w:hanging="440"/>
      </w:pPr>
    </w:lvl>
    <w:lvl w:ilvl="2" w:tentative="0">
      <w:start w:val="1"/>
      <w:numFmt w:val="lowerRoman"/>
      <w:lvlText w:val="%3."/>
      <w:lvlJc w:val="right"/>
      <w:pPr>
        <w:ind w:left="2454" w:hanging="440"/>
      </w:pPr>
    </w:lvl>
    <w:lvl w:ilvl="3" w:tentative="0">
      <w:start w:val="1"/>
      <w:numFmt w:val="decimal"/>
      <w:lvlText w:val="%4."/>
      <w:lvlJc w:val="left"/>
      <w:pPr>
        <w:ind w:left="2894" w:hanging="440"/>
      </w:pPr>
    </w:lvl>
    <w:lvl w:ilvl="4" w:tentative="0">
      <w:start w:val="1"/>
      <w:numFmt w:val="lowerLetter"/>
      <w:lvlText w:val="%5)"/>
      <w:lvlJc w:val="left"/>
      <w:pPr>
        <w:ind w:left="3334" w:hanging="440"/>
      </w:pPr>
    </w:lvl>
    <w:lvl w:ilvl="5" w:tentative="0">
      <w:start w:val="1"/>
      <w:numFmt w:val="lowerRoman"/>
      <w:lvlText w:val="%6."/>
      <w:lvlJc w:val="right"/>
      <w:pPr>
        <w:ind w:left="3774" w:hanging="440"/>
      </w:pPr>
    </w:lvl>
    <w:lvl w:ilvl="6" w:tentative="0">
      <w:start w:val="1"/>
      <w:numFmt w:val="decimal"/>
      <w:lvlText w:val="%7."/>
      <w:lvlJc w:val="left"/>
      <w:pPr>
        <w:ind w:left="4214" w:hanging="440"/>
      </w:pPr>
    </w:lvl>
    <w:lvl w:ilvl="7" w:tentative="0">
      <w:start w:val="1"/>
      <w:numFmt w:val="lowerLetter"/>
      <w:lvlText w:val="%8)"/>
      <w:lvlJc w:val="left"/>
      <w:pPr>
        <w:ind w:left="4654" w:hanging="440"/>
      </w:pPr>
    </w:lvl>
    <w:lvl w:ilvl="8" w:tentative="0">
      <w:start w:val="1"/>
      <w:numFmt w:val="lowerRoman"/>
      <w:lvlText w:val="%9."/>
      <w:lvlJc w:val="right"/>
      <w:pPr>
        <w:ind w:left="5094" w:hanging="440"/>
      </w:pPr>
    </w:lvl>
  </w:abstractNum>
  <w:abstractNum w:abstractNumId="2">
    <w:nsid w:val="28C1373F"/>
    <w:multiLevelType w:val="multilevel"/>
    <w:tmpl w:val="28C1373F"/>
    <w:lvl w:ilvl="0" w:tentative="0">
      <w:start w:val="1"/>
      <w:numFmt w:val="decimal"/>
      <w:pStyle w:val="4"/>
      <w:lvlText w:val="3.2.%1"/>
      <w:lvlJc w:val="right"/>
      <w:pPr>
        <w:ind w:left="284" w:hanging="284"/>
      </w:pPr>
      <w:rPr>
        <w:rFonts w:hint="eastAsia"/>
        <w:sz w:val="28"/>
        <w:szCs w:val="28"/>
      </w:rPr>
    </w:lvl>
    <w:lvl w:ilvl="1" w:tentative="0">
      <w:start w:val="1"/>
      <w:numFmt w:val="lowerLetter"/>
      <w:lvlText w:val="%2)"/>
      <w:lvlJc w:val="left"/>
      <w:pPr>
        <w:ind w:left="880" w:hanging="440"/>
      </w:pPr>
      <w:rPr>
        <w:rFonts w:hint="eastAsia"/>
      </w:rPr>
    </w:lvl>
    <w:lvl w:ilvl="2" w:tentative="0">
      <w:start w:val="1"/>
      <w:numFmt w:val="lowerRoman"/>
      <w:lvlText w:val="%3."/>
      <w:lvlJc w:val="right"/>
      <w:pPr>
        <w:ind w:left="1320" w:hanging="440"/>
      </w:pPr>
      <w:rPr>
        <w:rFonts w:hint="eastAsia"/>
      </w:rPr>
    </w:lvl>
    <w:lvl w:ilvl="3" w:tentative="0">
      <w:start w:val="1"/>
      <w:numFmt w:val="decimal"/>
      <w:lvlText w:val="%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abstractNum w:abstractNumId="3">
    <w:nsid w:val="48BE653C"/>
    <w:multiLevelType w:val="multilevel"/>
    <w:tmpl w:val="48BE653C"/>
    <w:lvl w:ilvl="0" w:tentative="0">
      <w:start w:val="1"/>
      <w:numFmt w:val="decimal"/>
      <w:pStyle w:val="3"/>
      <w:lvlText w:val="4.%1"/>
      <w:lvlJc w:val="right"/>
      <w:pPr>
        <w:ind w:left="284" w:hanging="284"/>
      </w:pPr>
      <w:rPr>
        <w:rFonts w:hint="eastAsia"/>
      </w:rPr>
    </w:lvl>
    <w:lvl w:ilvl="1" w:tentative="0">
      <w:start w:val="1"/>
      <w:numFmt w:val="lowerLetter"/>
      <w:lvlText w:val="%2)"/>
      <w:lvlJc w:val="left"/>
      <w:pPr>
        <w:ind w:left="880" w:hanging="440"/>
      </w:pPr>
      <w:rPr>
        <w:rFonts w:hint="eastAsia"/>
      </w:rPr>
    </w:lvl>
    <w:lvl w:ilvl="2" w:tentative="0">
      <w:start w:val="1"/>
      <w:numFmt w:val="lowerRoman"/>
      <w:lvlText w:val="%3."/>
      <w:lvlJc w:val="right"/>
      <w:pPr>
        <w:ind w:left="1320" w:hanging="440"/>
      </w:pPr>
      <w:rPr>
        <w:rFonts w:hint="eastAsia"/>
      </w:rPr>
    </w:lvl>
    <w:lvl w:ilvl="3" w:tentative="0">
      <w:start w:val="1"/>
      <w:numFmt w:val="decimal"/>
      <w:lvlText w:val="%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num w:numId="1">
    <w:abstractNumId w:val="3"/>
  </w:num>
  <w:num w:numId="2">
    <w:abstractNumId w:val="1"/>
    <w:lvlOverride w:ilvl="0">
      <w:lvl w:ilvl="0" w:tentative="1">
        <w:start w:val="1"/>
        <w:numFmt w:val="decimal"/>
        <w:pStyle w:val="7"/>
        <w:lvlText w:val="3.2.1.%1"/>
        <w:lvlJc w:val="right"/>
        <w:pPr>
          <w:ind w:left="1574" w:hanging="440"/>
        </w:pPr>
      </w:lvl>
    </w:lvlOverride>
    <w:lvlOverride w:ilvl="1">
      <w:lvl w:ilvl="1" w:tentative="1">
        <w:start w:val="1"/>
        <w:numFmt w:val="lowerLetter"/>
        <w:lvlText w:val="%2)"/>
        <w:lvlJc w:val="left"/>
        <w:pPr>
          <w:ind w:left="2014" w:hanging="440"/>
        </w:pPr>
        <w:rPr>
          <w:rFonts w:hint="eastAsia"/>
        </w:rPr>
      </w:lvl>
    </w:lvlOverride>
    <w:lvlOverride w:ilvl="2">
      <w:lvl w:ilvl="2" w:tentative="1">
        <w:start w:val="1"/>
        <w:numFmt w:val="lowerRoman"/>
        <w:lvlText w:val="%3."/>
        <w:lvlJc w:val="right"/>
        <w:pPr>
          <w:ind w:left="2454" w:hanging="440"/>
        </w:pPr>
        <w:rPr>
          <w:rFonts w:hint="eastAsia"/>
        </w:rPr>
      </w:lvl>
    </w:lvlOverride>
    <w:lvlOverride w:ilvl="3">
      <w:lvl w:ilvl="3" w:tentative="1">
        <w:start w:val="1"/>
        <w:numFmt w:val="decimal"/>
        <w:lvlText w:val="%4."/>
        <w:lvlJc w:val="left"/>
        <w:pPr>
          <w:ind w:left="2894" w:hanging="440"/>
        </w:pPr>
        <w:rPr>
          <w:rFonts w:hint="eastAsia"/>
        </w:rPr>
      </w:lvl>
    </w:lvlOverride>
    <w:lvlOverride w:ilvl="4">
      <w:lvl w:ilvl="4" w:tentative="1">
        <w:start w:val="1"/>
        <w:numFmt w:val="lowerLetter"/>
        <w:lvlText w:val="%5)"/>
        <w:lvlJc w:val="left"/>
        <w:pPr>
          <w:ind w:left="3334" w:hanging="440"/>
        </w:pPr>
        <w:rPr>
          <w:rFonts w:hint="eastAsia"/>
        </w:rPr>
      </w:lvl>
    </w:lvlOverride>
    <w:lvlOverride w:ilvl="5">
      <w:lvl w:ilvl="5" w:tentative="1">
        <w:start w:val="1"/>
        <w:numFmt w:val="lowerRoman"/>
        <w:lvlText w:val="%6."/>
        <w:lvlJc w:val="right"/>
        <w:pPr>
          <w:ind w:left="3774" w:hanging="440"/>
        </w:pPr>
        <w:rPr>
          <w:rFonts w:hint="eastAsia"/>
        </w:rPr>
      </w:lvl>
    </w:lvlOverride>
    <w:lvlOverride w:ilvl="6">
      <w:lvl w:ilvl="6" w:tentative="1">
        <w:start w:val="1"/>
        <w:numFmt w:val="decimal"/>
        <w:lvlText w:val="%7."/>
        <w:lvlJc w:val="left"/>
        <w:pPr>
          <w:ind w:left="4214" w:hanging="440"/>
        </w:pPr>
        <w:rPr>
          <w:rFonts w:hint="eastAsia"/>
        </w:rPr>
      </w:lvl>
    </w:lvlOverride>
    <w:lvlOverride w:ilvl="7">
      <w:lvl w:ilvl="7" w:tentative="1">
        <w:start w:val="1"/>
        <w:numFmt w:val="lowerLetter"/>
        <w:lvlText w:val="%8)"/>
        <w:lvlJc w:val="left"/>
        <w:pPr>
          <w:ind w:left="4654" w:hanging="440"/>
        </w:pPr>
        <w:rPr>
          <w:rFonts w:hint="eastAsia"/>
        </w:rPr>
      </w:lvl>
    </w:lvlOverride>
    <w:lvlOverride w:ilvl="8">
      <w:lvl w:ilvl="8" w:tentative="1">
        <w:start w:val="1"/>
        <w:numFmt w:val="lowerRoman"/>
        <w:lvlText w:val="%9."/>
        <w:lvlJc w:val="right"/>
        <w:pPr>
          <w:ind w:left="5094" w:hanging="440"/>
        </w:pPr>
        <w:rPr>
          <w:rFonts w:hint="eastAsia"/>
        </w:rPr>
      </w:lvl>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745F08"/>
    <w:rsid w:val="164741E3"/>
    <w:rsid w:val="633A21E0"/>
    <w:rsid w:val="7D425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4"/>
    <w:next w:val="1"/>
    <w:qFormat/>
    <w:uiPriority w:val="0"/>
    <w:pPr>
      <w:numPr>
        <w:ilvl w:val="0"/>
        <w:numId w:val="1"/>
      </w:numPr>
      <w:outlineLvl w:val="1"/>
    </w:pPr>
    <w:rPr>
      <w:rFonts w:cs="Times New Roman"/>
    </w:rPr>
  </w:style>
  <w:style w:type="paragraph" w:styleId="6">
    <w:name w:val="heading 3"/>
    <w:basedOn w:val="1"/>
    <w:next w:val="1"/>
    <w:link w:val="15"/>
    <w:unhideWhenUsed/>
    <w:qFormat/>
    <w:uiPriority w:val="0"/>
    <w:pPr>
      <w:keepNext/>
      <w:keepLines/>
      <w:spacing w:before="260" w:beforeLines="0" w:beforeAutospacing="0" w:after="260" w:afterLines="0" w:afterAutospacing="0" w:line="413" w:lineRule="auto"/>
      <w:outlineLvl w:val="2"/>
    </w:pPr>
    <w:rPr>
      <w:b/>
      <w:sz w:val="32"/>
    </w:rPr>
  </w:style>
  <w:style w:type="paragraph" w:styleId="7">
    <w:name w:val="heading 4"/>
    <w:basedOn w:val="8"/>
    <w:next w:val="1"/>
    <w:link w:val="13"/>
    <w:unhideWhenUsed/>
    <w:qFormat/>
    <w:uiPriority w:val="9"/>
    <w:pPr>
      <w:widowControl/>
      <w:numPr>
        <w:ilvl w:val="0"/>
        <w:numId w:val="2"/>
      </w:numPr>
      <w:spacing w:after="156" w:afterLines="50" w:line="400" w:lineRule="exact"/>
      <w:ind w:firstLineChars="0"/>
      <w:jc w:val="left"/>
      <w:outlineLvl w:val="3"/>
    </w:pPr>
    <w:rPr>
      <w:rFonts w:cs="Times New Roman" w:asciiTheme="majorEastAsia" w:hAnsiTheme="majorEastAsia" w:eastAsiaTheme="majorEastAsia"/>
      <w:color w:val="0E0E0E"/>
      <w:sz w:val="24"/>
      <w:szCs w:val="24"/>
    </w:rPr>
  </w:style>
  <w:style w:type="character" w:default="1" w:styleId="12">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标题3"/>
    <w:basedOn w:val="5"/>
    <w:qFormat/>
    <w:uiPriority w:val="0"/>
    <w:pPr>
      <w:numPr>
        <w:ilvl w:val="0"/>
        <w:numId w:val="3"/>
      </w:numPr>
      <w:ind w:firstLineChars="0"/>
    </w:pPr>
    <w:rPr>
      <w:rFonts w:eastAsia="宋体" w:asciiTheme="majorEastAsia" w:hAnsiTheme="majorEastAsia"/>
      <w:sz w:val="30"/>
      <w:szCs w:val="30"/>
    </w:rPr>
  </w:style>
  <w:style w:type="paragraph" w:styleId="5">
    <w:name w:val="List Paragraph"/>
    <w:basedOn w:val="1"/>
    <w:qFormat/>
    <w:uiPriority w:val="34"/>
    <w:pPr>
      <w:ind w:firstLine="420" w:firstLineChars="200"/>
    </w:pPr>
  </w:style>
  <w:style w:type="paragraph" w:styleId="8">
    <w:name w:val="Body Text 2"/>
    <w:basedOn w:val="1"/>
    <w:unhideWhenUsed/>
    <w:qFormat/>
    <w:uiPriority w:val="99"/>
    <w:pPr>
      <w:spacing w:line="440" w:lineRule="exact"/>
      <w:ind w:firstLine="200" w:firstLineChars="200"/>
    </w:pPr>
    <w:rPr>
      <w:rFonts w:eastAsia="宋体"/>
    </w:rPr>
  </w:style>
  <w:style w:type="paragraph" w:styleId="9">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4 字符"/>
    <w:basedOn w:val="12"/>
    <w:link w:val="7"/>
    <w:uiPriority w:val="9"/>
    <w:rPr>
      <w:rFonts w:cs="Times New Roman" w:asciiTheme="majorEastAsia" w:hAnsiTheme="majorEastAsia" w:eastAsiaTheme="majorEastAsia"/>
      <w:color w:val="0E0E0E"/>
      <w:sz w:val="24"/>
      <w:szCs w:val="24"/>
    </w:rPr>
  </w:style>
  <w:style w:type="paragraph" w:customStyle="1" w:styleId="14">
    <w:name w:val="zw"/>
    <w:basedOn w:val="8"/>
    <w:qFormat/>
    <w:uiPriority w:val="0"/>
    <w:pPr>
      <w:spacing w:after="100" w:afterAutospacing="1" w:line="400" w:lineRule="exact"/>
      <w:ind w:firstLine="420"/>
    </w:pPr>
  </w:style>
  <w:style w:type="character" w:customStyle="1" w:styleId="15">
    <w:name w:val="标题 3 Char"/>
    <w:link w:val="6"/>
    <w:uiPriority w:val="0"/>
    <w:rPr>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4094</Words>
  <Characters>4114</Characters>
  <Lines>0</Lines>
  <Paragraphs>0</Paragraphs>
  <TotalTime>9</TotalTime>
  <ScaleCrop>false</ScaleCrop>
  <LinksUpToDate>false</LinksUpToDate>
  <CharactersWithSpaces>4114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2025-04-07T03:59:51Z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eyJoZGlkIjoiNjFmN2ZkZjhkZGQ5NDFmMzA2ZWU0YzUyN2M4ZDNhZmUifQ==</vt:lpwstr>
  </property>
  <property fmtid="{D5CDD505-2E9C-101B-9397-08002B2CF9AE}" pid="4" name="ICV">
    <vt:lpwstr>535A0FB7D94944E3877AA903DCBCFE1D_12</vt:lpwstr>
  </property>
</Properties>
</file>